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C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А</w:t>
      </w:r>
      <w:r w:rsidRPr="00285DD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ДМИНИСТРАЦИЯ ПЕРВОМАЙСКОГО РАЙОНА</w:t>
      </w:r>
    </w:p>
    <w:p w:rsidR="00C36D9C" w:rsidRPr="00285DD2" w:rsidRDefault="00C36D9C" w:rsidP="00C36D9C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36D9C" w:rsidRDefault="00C36D9C" w:rsidP="00C36D9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85DD2">
        <w:rPr>
          <w:rFonts w:ascii="Times New Roman" w:hAnsi="Times New Roman" w:cs="Times New Roman"/>
          <w:color w:val="000000" w:themeColor="text1"/>
          <w:sz w:val="32"/>
          <w:szCs w:val="32"/>
        </w:rPr>
        <w:t>РАСПОРЯЖЕНИЕ</w:t>
      </w:r>
    </w:p>
    <w:p w:rsidR="00C36D9C" w:rsidRPr="00B24475" w:rsidRDefault="00681C62" w:rsidP="00B24475">
      <w:pPr>
        <w:pStyle w:val="3"/>
        <w:spacing w:before="480" w:after="48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07</w:t>
      </w:r>
      <w:r w:rsidR="00A65D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.11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.2018</w:t>
      </w:r>
      <w:r w:rsidR="00C36D9C" w:rsidRPr="006B39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                                                         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</w:t>
      </w:r>
      <w:r w:rsidR="00B2447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</w:t>
      </w:r>
      <w:r w:rsidR="00C36D9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702</w:t>
      </w:r>
      <w:r w:rsidR="00B24475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-р</w:t>
      </w:r>
    </w:p>
    <w:p w:rsidR="00681C62" w:rsidRDefault="00681C62" w:rsidP="00681C6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отчета об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муниципального </w:t>
      </w:r>
    </w:p>
    <w:p w:rsidR="00C36D9C" w:rsidRDefault="00681C62" w:rsidP="00681C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«Первомайский район»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за 3 квартал 2018 года</w:t>
      </w:r>
    </w:p>
    <w:p w:rsidR="00B24475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24475" w:rsidRPr="006B395F" w:rsidRDefault="00B24475" w:rsidP="00C36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5 ст. 264.2 Бюджетного кодекса Российской Федерации,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исполнении бюджета муниципального образования «Первомайский район» за 3 квартал 2018 года согласно приложениям 1, 2, 3  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 выполнении Программы приватизации (продажи) муниципального имущества Первомайского района согласно приложению 4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 выполнении Программы муниципальных внутренних заимствований Первомайского района согласно приложению 5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использовании бюджетных ассигнований резервного фонда финансирования непредвиденных расходов Администрации Первомайского района согласно приложению 6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5.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Утвердить отчет об исполнении муниципального дорожного фонда бюджета муниципального образования «Первомайский район» согласно приложению 7 к настоящему распоряжению.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Направить утвержденный отчет в Думу Первомайского района и Контрольно-счетный орган Первомайского района.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>7.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Опубликовать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</w:t>
      </w:r>
      <w:r w:rsidRPr="00681C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(http://pmr.tomsk.ru/).</w:t>
      </w:r>
    </w:p>
    <w:p w:rsidR="000E71C6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4475" w:rsidRPr="006B395F" w:rsidRDefault="00B24475" w:rsidP="00C36D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61565B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>лав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36D9C" w:rsidRPr="006B3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Первомайского района                                                      </w:t>
      </w:r>
      <w:r w:rsidR="00C36D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244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B244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D00">
        <w:rPr>
          <w:rFonts w:ascii="Times New Roman" w:hAnsi="Times New Roman" w:cs="Times New Roman"/>
          <w:color w:val="000000" w:themeColor="text1"/>
          <w:sz w:val="26"/>
          <w:szCs w:val="26"/>
        </w:rPr>
        <w:t>И.И. Сиберт</w:t>
      </w: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D9C" w:rsidRDefault="00C36D9C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4475" w:rsidRDefault="00B24475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36D9C" w:rsidRPr="00B24475" w:rsidRDefault="00681C62" w:rsidP="00C36D9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С.М. Вяльцева</w:t>
      </w:r>
    </w:p>
    <w:p w:rsidR="00270477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8(38245)2 22 52</w:t>
      </w:r>
    </w:p>
    <w:p w:rsidR="00681C62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81C62" w:rsidRDefault="00681C62" w:rsidP="00B2447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73" w:type="dxa"/>
        <w:tblInd w:w="94" w:type="dxa"/>
        <w:tblLayout w:type="fixed"/>
        <w:tblLook w:val="04A0"/>
      </w:tblPr>
      <w:tblGrid>
        <w:gridCol w:w="2424"/>
        <w:gridCol w:w="441"/>
        <w:gridCol w:w="3528"/>
        <w:gridCol w:w="788"/>
        <w:gridCol w:w="488"/>
        <w:gridCol w:w="1071"/>
        <w:gridCol w:w="205"/>
        <w:gridCol w:w="742"/>
        <w:gridCol w:w="250"/>
        <w:gridCol w:w="236"/>
      </w:tblGrid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Приложение 1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                    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             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 распоряжению Администрации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Первомайского района</w:t>
            </w:r>
          </w:p>
          <w:p w:rsidR="00681C62" w:rsidRPr="00681C62" w:rsidRDefault="00681C62" w:rsidP="00F0037D">
            <w:pPr>
              <w:spacing w:after="0" w:line="240" w:lineRule="auto"/>
              <w:ind w:left="-1569" w:hanging="283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  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>о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т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07.11.</w:t>
            </w: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2018</w:t>
            </w:r>
            <w:r w:rsidR="00F0037D">
              <w:rPr>
                <w:rFonts w:ascii="Times New Roman CYR" w:eastAsia="Times New Roman" w:hAnsi="Times New Roman CYR" w:cs="Times New Roman CYR"/>
                <w:lang w:eastAsia="ru-RU"/>
              </w:rPr>
              <w:t xml:space="preserve"> №702-р</w:t>
            </w: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81C62" w:rsidRPr="00681C62" w:rsidRDefault="00681C62" w:rsidP="00F003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682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trHeight w:val="312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ind w:right="33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Отчет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tabs>
                <w:tab w:val="left" w:pos="3093"/>
              </w:tabs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об исполнении доходной части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бюджета муниципального образования «Первомайский район»</w:t>
            </w:r>
          </w:p>
        </w:tc>
      </w:tr>
      <w:tr w:rsidR="00681C62" w:rsidRPr="00681C62" w:rsidTr="00681C62">
        <w:trPr>
          <w:gridAfter w:val="2"/>
          <w:wAfter w:w="486" w:type="dxa"/>
          <w:trHeight w:val="312"/>
        </w:trPr>
        <w:tc>
          <w:tcPr>
            <w:tcW w:w="9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за  3 квартал 2018 года</w:t>
            </w:r>
          </w:p>
        </w:tc>
      </w:tr>
      <w:tr w:rsidR="00681C62" w:rsidRPr="00681C62" w:rsidTr="00681C62">
        <w:trPr>
          <w:gridAfter w:val="2"/>
          <w:wAfter w:w="486" w:type="dxa"/>
          <w:trHeight w:val="30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72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</w:tr>
      <w:tr w:rsidR="00681C62" w:rsidRPr="00681C62" w:rsidTr="00681C62">
        <w:trPr>
          <w:gridAfter w:val="2"/>
          <w:wAfter w:w="486" w:type="dxa"/>
          <w:trHeight w:val="253"/>
        </w:trPr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План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Исполнено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Исполнение, %</w:t>
            </w:r>
          </w:p>
        </w:tc>
      </w:tr>
      <w:tr w:rsidR="00681C62" w:rsidRPr="00681C62" w:rsidTr="00681C62">
        <w:trPr>
          <w:gridAfter w:val="2"/>
          <w:wAfter w:w="486" w:type="dxa"/>
          <w:trHeight w:val="253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900"/>
        </w:trPr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</w:tr>
      <w:tr w:rsidR="00681C62" w:rsidRPr="00681C62" w:rsidTr="00681C62">
        <w:trPr>
          <w:gridAfter w:val="2"/>
          <w:wAfter w:w="486" w:type="dxa"/>
          <w:trHeight w:val="33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</w:tr>
      <w:tr w:rsidR="00681C62" w:rsidRPr="00681C62" w:rsidTr="00681C62">
        <w:trPr>
          <w:gridAfter w:val="2"/>
          <w:wAfter w:w="486" w:type="dxa"/>
          <w:trHeight w:val="52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 xml:space="preserve"> ВСЕГО ДОХОДОВ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568 992,3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539 559,5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94,8</w:t>
            </w:r>
          </w:p>
        </w:tc>
      </w:tr>
      <w:tr w:rsidR="00681C62" w:rsidRPr="00681C62" w:rsidTr="00681C62">
        <w:trPr>
          <w:gridAfter w:val="2"/>
          <w:wAfter w:w="486" w:type="dxa"/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1 00 00000 00 0000 000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68 436,7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72 070,0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105,3</w:t>
            </w:r>
          </w:p>
        </w:tc>
      </w:tr>
      <w:tr w:rsidR="00681C62" w:rsidRPr="00681C62" w:rsidTr="00681C62">
        <w:trPr>
          <w:gridAfter w:val="2"/>
          <w:wAfter w:w="486" w:type="dxa"/>
          <w:trHeight w:val="39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59 576,0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62 564,1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105,0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1 01 02000 01 0000 110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51 600,0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52990,3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102,7</w:t>
            </w:r>
          </w:p>
        </w:tc>
      </w:tr>
      <w:tr w:rsidR="00681C62" w:rsidRPr="00681C62" w:rsidTr="00681C62">
        <w:trPr>
          <w:gridAfter w:val="2"/>
          <w:wAfter w:w="486" w:type="dxa"/>
          <w:trHeight w:val="103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1 03 02000 01 0000 110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1 362,0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1552,0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114,0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1 05 02000 02 0000 110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2 570,0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2 150,4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83,7</w:t>
            </w:r>
          </w:p>
        </w:tc>
      </w:tr>
      <w:tr w:rsidR="00681C62" w:rsidRPr="00681C62" w:rsidTr="00681C62">
        <w:trPr>
          <w:gridAfter w:val="2"/>
          <w:wAfter w:w="486" w:type="dxa"/>
          <w:trHeight w:val="7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1 05 01000 00 0000 110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2 980,0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3 795,8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127,4</w:t>
            </w:r>
          </w:p>
        </w:tc>
      </w:tr>
      <w:tr w:rsidR="00681C62" w:rsidRPr="00681C62" w:rsidTr="00681C62">
        <w:trPr>
          <w:gridAfter w:val="2"/>
          <w:wAfter w:w="486" w:type="dxa"/>
          <w:trHeight w:val="4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1 05 03000 01 0000 110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935,0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1 07 01000 01 0000 110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Налог на добычу полезных ископаемых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166,0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935,8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563,7</w:t>
            </w:r>
          </w:p>
        </w:tc>
      </w:tr>
      <w:tr w:rsidR="00681C62" w:rsidRPr="00681C62" w:rsidTr="00681C62">
        <w:trPr>
          <w:gridAfter w:val="2"/>
          <w:wAfter w:w="486" w:type="dxa"/>
          <w:trHeight w:val="4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1 08 00000 00 0000 110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Государственная пошлина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119,7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8 860,7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9 505,8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107,3</w:t>
            </w:r>
          </w:p>
        </w:tc>
      </w:tr>
      <w:tr w:rsidR="00681C62" w:rsidRPr="00681C62" w:rsidTr="00681C62">
        <w:trPr>
          <w:gridAfter w:val="2"/>
          <w:wAfter w:w="486" w:type="dxa"/>
          <w:trHeight w:val="10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1 11 00000 00 0000 120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4 381,0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5 053,3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115,3</w:t>
            </w:r>
          </w:p>
        </w:tc>
      </w:tr>
      <w:tr w:rsidR="00681C62" w:rsidRPr="00681C62" w:rsidTr="00681C62">
        <w:trPr>
          <w:gridAfter w:val="2"/>
          <w:wAfter w:w="486" w:type="dxa"/>
          <w:trHeight w:val="19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1 11 05010 00 0000 120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3 850,0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4419,8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114,8</w:t>
            </w:r>
          </w:p>
        </w:tc>
      </w:tr>
      <w:tr w:rsidR="00681C62" w:rsidRPr="00681C62" w:rsidTr="00681C62">
        <w:trPr>
          <w:gridAfter w:val="2"/>
          <w:wAfter w:w="486" w:type="dxa"/>
          <w:trHeight w:val="22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1 11 05020 00 0000 120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118,9</w:t>
            </w:r>
          </w:p>
        </w:tc>
      </w:tr>
      <w:tr w:rsidR="00681C62" w:rsidRPr="00681C62" w:rsidTr="00681C62">
        <w:trPr>
          <w:gridAfter w:val="2"/>
          <w:wAfter w:w="486" w:type="dxa"/>
          <w:trHeight w:val="234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1 11 05030 00 0000 120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522,0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119,3</w:t>
            </w:r>
          </w:p>
        </w:tc>
      </w:tr>
      <w:tr w:rsidR="00681C62" w:rsidRPr="00681C62" w:rsidTr="00681C62">
        <w:trPr>
          <w:gridAfter w:val="2"/>
          <w:wAfter w:w="486" w:type="dxa"/>
          <w:trHeight w:val="6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1 12 01000 01 0000 120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153,7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1 13 00000 00 0000 130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7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1 14 00000 00 0000 000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2 845,7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3 188,2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112,0</w:t>
            </w:r>
          </w:p>
        </w:tc>
      </w:tr>
      <w:tr w:rsidR="00681C62" w:rsidRPr="00681C62" w:rsidTr="00681C62">
        <w:trPr>
          <w:gridAfter w:val="2"/>
          <w:wAfter w:w="486" w:type="dxa"/>
          <w:trHeight w:val="23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1 14 02000 00 0000 410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2 785,7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2983,0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107,1</w:t>
            </w:r>
          </w:p>
        </w:tc>
      </w:tr>
      <w:tr w:rsidR="00681C62" w:rsidRPr="00681C62" w:rsidTr="00681C62">
        <w:trPr>
          <w:gridAfter w:val="2"/>
          <w:wAfter w:w="486" w:type="dxa"/>
          <w:trHeight w:val="16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1 14 06000 00 0000 430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205,2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342,0</w:t>
            </w:r>
          </w:p>
        </w:tc>
      </w:tr>
      <w:tr w:rsidR="00681C62" w:rsidRPr="00681C62" w:rsidTr="00681C62">
        <w:trPr>
          <w:gridAfter w:val="2"/>
          <w:wAfter w:w="486" w:type="dxa"/>
          <w:trHeight w:val="46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1 16 00000 00 0000 140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1039,3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69,3</w:t>
            </w:r>
          </w:p>
        </w:tc>
      </w:tr>
      <w:tr w:rsidR="00681C62" w:rsidRPr="00681C62" w:rsidTr="00681C62">
        <w:trPr>
          <w:gridAfter w:val="2"/>
          <w:wAfter w:w="486" w:type="dxa"/>
          <w:trHeight w:val="49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1 17 00000 00 0000 180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 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lastRenderedPageBreak/>
              <w:t>2 00 00000 00 0000 00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500 555,6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467 489,4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93,4</w:t>
            </w:r>
          </w:p>
        </w:tc>
      </w:tr>
      <w:tr w:rsidR="00681C62" w:rsidRPr="00681C62" w:rsidTr="00681C62">
        <w:trPr>
          <w:gridAfter w:val="2"/>
          <w:wAfter w:w="486" w:type="dxa"/>
          <w:trHeight w:val="75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2 02 15001 05 0000 151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59 357,0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59 357,0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2 02 15002 05 0000 151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26 566,9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26 566,9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5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2 02 20077 05 0000 151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32 136,9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32 136,9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44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2.02.25467.05.0000.151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2.02.25497.05.0000.151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2.02.25519.05.0000.151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0,0</w:t>
            </w:r>
          </w:p>
        </w:tc>
      </w:tr>
      <w:tr w:rsidR="00681C62" w:rsidRPr="00681C62" w:rsidTr="00681C62">
        <w:trPr>
          <w:gridAfter w:val="2"/>
          <w:wAfter w:w="486" w:type="dxa"/>
          <w:trHeight w:val="220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2.02.25527.05.0000.151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340,0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69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2.02.25555.05.0000.151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3 612,0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3 612,0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2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2.02.25567.05.0000.151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1 336,0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7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2 02 29999 05 0000 151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154 170,92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121 497,21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78,8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2 02 30024 05 0000 151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200 434,55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200 424,55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60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2 02 30027 05 0000 151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13 346,13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13 346,13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2 02 35082 05 0000 151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7 490,84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7 490,84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2 02 35118 05 0000 151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620,10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5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2 02 35120 05 0000 151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125,00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2 02 35260 05 0000 151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65,36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65,36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1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2 02 35542 05 0000 151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1 918,04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1 893,79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681C62">
        <w:trPr>
          <w:gridAfter w:val="2"/>
          <w:wAfter w:w="486" w:type="dxa"/>
          <w:trHeight w:val="16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2 02 35543 05 0000 151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40,31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40,31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2 02 40014 05 0000 151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2 110,32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2 110,32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08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2 02 49999 05 0000 151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5 233,77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5 233,77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72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2 18 60010 05 0000 151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51,82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2 18 05010 05 0000 151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812,85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812,85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2 18 05020 05 0000 151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143,45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143,45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56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2 19 25018 05 0000 151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-18,25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-32,85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180,0</w:t>
            </w:r>
          </w:p>
        </w:tc>
      </w:tr>
      <w:tr w:rsidR="00681C62" w:rsidRPr="00681C62" w:rsidTr="00681C62">
        <w:trPr>
          <w:gridAfter w:val="2"/>
          <w:wAfter w:w="486" w:type="dxa"/>
          <w:trHeight w:val="182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2 19 25020 05 0000 151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-53,00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681C62">
        <w:trPr>
          <w:gridAfter w:val="2"/>
          <w:wAfter w:w="486" w:type="dxa"/>
          <w:trHeight w:val="182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2 19 60010 05 0000 151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-11 629,03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lang w:eastAsia="ru-RU"/>
              </w:rPr>
              <w:t>-11 629,03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681C62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100,0</w:t>
            </w:r>
          </w:p>
        </w:tc>
      </w:tr>
    </w:tbl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60" w:type="dxa"/>
        <w:tblInd w:w="-426" w:type="dxa"/>
        <w:tblLayout w:type="fixed"/>
        <w:tblLook w:val="04A0"/>
      </w:tblPr>
      <w:tblGrid>
        <w:gridCol w:w="3086"/>
        <w:gridCol w:w="283"/>
        <w:gridCol w:w="567"/>
        <w:gridCol w:w="142"/>
        <w:gridCol w:w="567"/>
        <w:gridCol w:w="176"/>
        <w:gridCol w:w="1242"/>
        <w:gridCol w:w="175"/>
        <w:gridCol w:w="64"/>
        <w:gridCol w:w="561"/>
        <w:gridCol w:w="714"/>
        <w:gridCol w:w="561"/>
        <w:gridCol w:w="1219"/>
        <w:gridCol w:w="708"/>
        <w:gridCol w:w="95"/>
      </w:tblGrid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037D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распоряжению Администрации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Первомайского района</w:t>
            </w:r>
          </w:p>
        </w:tc>
      </w:tr>
      <w:tr w:rsidR="00681C62" w:rsidRPr="00681C62" w:rsidTr="00F0037D">
        <w:trPr>
          <w:gridAfter w:val="1"/>
          <w:wAfter w:w="95" w:type="dxa"/>
          <w:trHeight w:val="276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F0037D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07.11.2018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2018г.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702-р</w:t>
            </w:r>
          </w:p>
        </w:tc>
      </w:tr>
      <w:tr w:rsidR="00681C62" w:rsidRPr="00681C62" w:rsidTr="00F0037D">
        <w:trPr>
          <w:gridAfter w:val="2"/>
          <w:wAfter w:w="803" w:type="dxa"/>
          <w:trHeight w:val="828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бюджета муниципального образования «Первомайский район» по разделам, подразделам, целевым статьям и видам расходов классификации расходов бюджетов в ведомственной структуре расходов</w:t>
            </w:r>
          </w:p>
        </w:tc>
      </w:tr>
      <w:tr w:rsidR="00681C62" w:rsidRPr="00681C62" w:rsidTr="00F0037D">
        <w:trPr>
          <w:gridAfter w:val="2"/>
          <w:wAfter w:w="803" w:type="dxa"/>
          <w:trHeight w:val="324"/>
        </w:trPr>
        <w:tc>
          <w:tcPr>
            <w:tcW w:w="93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3 квартал 2018 года</w:t>
            </w:r>
          </w:p>
        </w:tc>
      </w:tr>
      <w:tr w:rsidR="00681C62" w:rsidRPr="00681C62" w:rsidTr="00F0037D">
        <w:trPr>
          <w:gridAfter w:val="2"/>
          <w:wAfter w:w="803" w:type="dxa"/>
          <w:trHeight w:val="771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0037D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 w:rsidR="00F0037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0037D" w:rsidRDefault="00F0037D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F0037D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681C62" w:rsidRPr="00681C62">
              <w:rPr>
                <w:rFonts w:ascii="Times New Roman" w:eastAsia="Times New Roman" w:hAnsi="Times New Roman" w:cs="Times New Roman"/>
                <w:lang w:eastAsia="ru-RU"/>
              </w:rPr>
              <w:t>(тыс.руб.)</w:t>
            </w:r>
          </w:p>
        </w:tc>
      </w:tr>
      <w:tr w:rsidR="00681C62" w:rsidRPr="00681C62" w:rsidTr="00F0037D">
        <w:trPr>
          <w:trHeight w:val="253"/>
        </w:trPr>
        <w:tc>
          <w:tcPr>
            <w:tcW w:w="33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1C62" w:rsidRPr="00681C62" w:rsidTr="00F0037D">
        <w:trPr>
          <w:trHeight w:val="27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 Е Г 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573 477,0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527 973,4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92,1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Дума 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39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305,37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100 172,2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97 904,7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24 018,57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23 782,09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81C62" w:rsidRPr="00681C62" w:rsidTr="00F0037D">
        <w:trPr>
          <w:trHeight w:val="11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1 082,75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13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16 637,37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16 449,31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13 725,51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13 692,97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13 725,51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13 692,97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10 833,85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10 819,73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2 658,95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2 642,37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200,01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23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42,36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34,42</w:t>
            </w:r>
          </w:p>
        </w:tc>
      </w:tr>
      <w:tr w:rsidR="00681C62" w:rsidRPr="00681C62" w:rsidTr="00F0037D">
        <w:trPr>
          <w:trHeight w:val="9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0426140110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103,63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87,8</w:t>
            </w:r>
          </w:p>
        </w:tc>
      </w:tr>
      <w:tr w:rsidR="00681C62" w:rsidRPr="00681C62" w:rsidTr="00F0037D">
        <w:trPr>
          <w:trHeight w:val="10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1016340640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84,5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351,40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306,30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93,8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1216040730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93,3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1 993,46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1 900,87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1 814,63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1 742,88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96,0</w:t>
            </w:r>
          </w:p>
        </w:tc>
      </w:tr>
      <w:tr w:rsidR="00681C62" w:rsidRPr="00681C62" w:rsidTr="00F0037D">
        <w:trPr>
          <w:trHeight w:val="7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178,83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6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 в связи с переселением из районов Крайнего Севера и  приравненных к ним местностей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1328140820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3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344,48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332,89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304,33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294,81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2316040940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94,9</w:t>
            </w:r>
          </w:p>
        </w:tc>
      </w:tr>
      <w:tr w:rsidR="00681C62" w:rsidRPr="00681C62" w:rsidTr="00F0037D">
        <w:trPr>
          <w:trHeight w:val="8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9900051200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76,5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6 168,41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6 154,44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5 320,02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5 306,07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3 029,42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3 019,30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2 286,90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2 283,07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33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808,39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3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651,00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157,39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  <w:r w:rsidRPr="00681C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39,99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 правонарушений и наркомании Первомайского района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29 910,12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29 534,16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86,93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85,43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74,5</w:t>
            </w:r>
          </w:p>
        </w:tc>
      </w:tr>
      <w:tr w:rsidR="00681C62" w:rsidRPr="00681C62" w:rsidTr="00F0037D">
        <w:trPr>
          <w:trHeight w:val="9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0526240140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3170100000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3170100000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769,50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28 684,02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28 677,74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7952240895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7952240895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79522S0895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79522S0895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7950640060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7950640060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18 265,40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18 264,78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18 214,40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18 214,38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6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6 381,37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1 616,45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10 216,59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10 216,56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79526L5670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79526L5670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10 141,56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79526S5670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"Благоустройство территории Первомайского района Томской области на 2018-2022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6000540М21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6000540М21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672,10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663,11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ведомственная целевая программа    "Молодежь Первомайского района" на 2016-2018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132,56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119,06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95,2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530,56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354,41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26 113,44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24 564,25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  <w:tr w:rsidR="00681C62" w:rsidRPr="00681C62" w:rsidTr="00F0037D">
        <w:trPr>
          <w:trHeight w:val="52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4 792,13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4 237,69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0620000000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3 488,28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0629245670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0629245670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2 081,94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06292L5670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06292L5670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1 406,34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1116040710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основного мероприятия "Обеспечение жильем молодых семей" государственной </w:t>
            </w:r>
            <w:hyperlink r:id="rId5" w:history="1">
              <w:r w:rsidRPr="00681C62">
                <w:rPr>
                  <w:rFonts w:ascii="Times New Roman" w:eastAsia="Times New Roman" w:hAnsi="Times New Roman" w:cs="Times New Roman"/>
                  <w:lang w:eastAsia="ru-RU"/>
                </w:rPr>
                <w:t>программы</w:t>
              </w:r>
            </w:hyperlink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13180L4970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13180L4790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923,61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649,41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1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79501S0710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79501S0710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"Обеспечение жильем молодых семей на территории Первомайского района" на 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79507L0810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79507L0810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3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79509S5670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20 891,33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19 909,82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</w:t>
            </w:r>
          </w:p>
        </w:tc>
      </w:tr>
      <w:tr w:rsidR="00681C62" w:rsidRPr="00681C62" w:rsidTr="00F0037D">
        <w:trPr>
          <w:trHeight w:val="58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20 891,33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19 909,82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95,3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"Организация работы  по развитию форм жизнеустройства детей-сирот и детей оставшихся без попечения родителей"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13 346,13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12 364,63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</w:tr>
      <w:tr w:rsidR="00681C62" w:rsidRPr="00681C62" w:rsidTr="00F0037D">
        <w:trPr>
          <w:trHeight w:val="37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1 322,58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1 135,59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85,9</w:t>
            </w:r>
          </w:p>
        </w:tc>
      </w:tr>
      <w:tr w:rsidR="00681C62" w:rsidRPr="00681C62" w:rsidTr="00F0037D">
        <w:trPr>
          <w:trHeight w:val="7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81,8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1 130,20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85,9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12 023,55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11 229,04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5 922,00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5 495,83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92,8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6 051,40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5 686,03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94,0</w:t>
            </w:r>
          </w:p>
        </w:tc>
      </w:tr>
      <w:tr w:rsidR="00681C62" w:rsidRPr="00681C62" w:rsidTr="00F0037D">
        <w:trPr>
          <w:trHeight w:val="14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7 479,84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7 479,84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1228040820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6 204,78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12280R0820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12280R0820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1 275,06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1228352600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1228352600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429,97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416,74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429,97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416,74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 Ветеран 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393,97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380,74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Чествование участников Великой Отечественной войны, юбиляров долгожителей, выплаты почётным гражданам  и содержание специалиста по организации работы с ветеранами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393,97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380,74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96,6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113,85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113,85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7950100010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826,73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731,91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9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635,33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629,70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186,03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405,76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405,76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7951600000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3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102,22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53,4</w:t>
            </w:r>
          </w:p>
        </w:tc>
      </w:tr>
      <w:tr w:rsidR="00681C62" w:rsidRPr="00681C62" w:rsidTr="00F0037D">
        <w:trPr>
          <w:trHeight w:val="7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Финансовое управление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59 785,94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56 113,59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93,9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9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4 948,01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4 876,65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98,6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4 154,38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4 110,43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98,9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793,61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766,20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96,5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Субвенция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2128151180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1928340960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1928340960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spellStart"/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Жилищно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34 413,66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30 871,36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89,7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30 783,60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15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0426340130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27 241,30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71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3 542,30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1918040910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3 542,30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Томской области на 2018-2022 годы»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79527L5550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1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79527L5550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3 630,06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8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нормативных социальных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0816040310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0816040310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617,62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589,23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95,4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17 228,75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17 228,75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2126540M70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2126540M70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14 706,00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общего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2 522,75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2 522,75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Резервные фонды  органов местного самоуправления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Иной 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5170020000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5170020000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2 496,75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26 131,33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25 432,35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97,3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3 725,36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3 026,47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681C62" w:rsidRPr="00681C62" w:rsidTr="00F0037D">
        <w:trPr>
          <w:trHeight w:val="7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0326040100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3 724,46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3 025,57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1 502,30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1 501,89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1 207,59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1 207,35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289,85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289,69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2 222,16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1 523,68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904 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2 222,16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1 523,68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68,6</w:t>
            </w:r>
          </w:p>
        </w:tc>
      </w:tr>
      <w:tr w:rsidR="00681C62" w:rsidRPr="00681C62" w:rsidTr="00F0037D">
        <w:trPr>
          <w:trHeight w:val="106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7952500100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279,00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Содержание и обслуживание муниципального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1 943,16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1 244,68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7952500200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1 395,57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697,09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0920300130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547,59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90,76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218,31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6,31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утилизации и переработки бытовых промышленных отходов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6000500040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6000500040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зданий для размещения дошкольных образовательных организаций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092824И590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инвестиции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092824И590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22 096,80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1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314 749,0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278 018,7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314 604,34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277 885,49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88,3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48 307,04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48 307,04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24 305,21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22 334,30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22 334,30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17 830,30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17 830,30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4 504,00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4 504,00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в форме семейного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0916040380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8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1 577,60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1 577,60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1 267,30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1 267,30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0916040390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70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3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130,28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2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отдельных государственных полномочий по выплате надбавок к должностному окладу педагогическим работникам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23 613,95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23 613,95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19 069,35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19 069,35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4 544,60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4 544,60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387,87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387,87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170,07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170,07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155,57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155,57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177,80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143,80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143,80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239 211,97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203 050,47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150 996,80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148 288,32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  <w:tr w:rsidR="00681C62" w:rsidRPr="00681C62" w:rsidTr="00F0037D">
        <w:trPr>
          <w:trHeight w:val="214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150 393,20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147 684,72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98,2</w:t>
            </w:r>
          </w:p>
        </w:tc>
      </w:tr>
      <w:tr w:rsidR="00681C62" w:rsidRPr="00681C62" w:rsidTr="00F0037D">
        <w:trPr>
          <w:trHeight w:val="25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142 394,11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139 694,10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104 508,30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101 808,30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97,4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37 885,81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37 885,80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954,80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688,03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688,03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266,77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266,77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  в муниципальных (частных) образовательных организациях, осуществляющих образовательную деятельность по основным образовательным программам, бесплатным двухразовым питанием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5 096,82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5 096,82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928,18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928,18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356,49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356,49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235,51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5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1 062,90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1 062,90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872,80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190,10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292,57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284,10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204,55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201,17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88,02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82,94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0928640960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0928640960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603,60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семьях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689,88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597,90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1226240740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91,98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79 323,40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79 323,40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действующих мест в общеобразовательных организациях (за исключением затрат на капитальное строительство)"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10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2438140995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2438140995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54 438,37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26 062,62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47,9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31 770,14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26 693,14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25 083,42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20 006,42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79,8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6 686,72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6 686,72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1 316,51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58,68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556,10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556,10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335,90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220,20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7952100200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19 474,50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19 322,90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99,2</w:t>
            </w:r>
          </w:p>
        </w:tc>
      </w:tr>
      <w:tr w:rsidR="00681C62" w:rsidRPr="00681C62" w:rsidTr="00F0037D">
        <w:trPr>
          <w:trHeight w:val="8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0826140360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8 175,10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8 023,50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126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8 175,10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8 023,50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98,1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326,60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05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7 651,20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0916340530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5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современных управленческих и организационно - 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0919245370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0919245370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10 962,82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42399L5370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42399L5370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18,51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66,10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151,97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2 250,18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2 240,78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1 627,88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1 622,08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99,6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1 035,85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1 035,85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592,03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586,23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99,0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618,70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322,30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4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257,50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257,50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7950300000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"Профилактика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296,40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98,8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9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79512S0790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58,80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94,2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5 360,66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4 964,30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92,6</w:t>
            </w:r>
          </w:p>
        </w:tc>
      </w:tr>
      <w:tr w:rsidR="00681C62" w:rsidRPr="00681C62" w:rsidTr="00F0037D">
        <w:trPr>
          <w:trHeight w:val="19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30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0916240500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0916240500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694,50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4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4 666,16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4 269,80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91,5</w:t>
            </w:r>
          </w:p>
        </w:tc>
      </w:tr>
      <w:tr w:rsidR="00681C62" w:rsidRPr="00681C62" w:rsidTr="00F0037D">
        <w:trPr>
          <w:trHeight w:val="51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4 020,40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3 699,26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92,0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644,23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569,44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88,4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71,8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Социальная политика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133,23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95,6</w:t>
            </w:r>
          </w:p>
        </w:tc>
      </w:tr>
      <w:tr w:rsidR="00681C62" w:rsidRPr="00681C62" w:rsidTr="00F0037D">
        <w:trPr>
          <w:trHeight w:val="6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"Одаренные дети" на 2018-2020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"Меры поддержки кадрового обеспечения в Первомайском районе на 2016-2018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107,93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101,73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94,3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89,98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83,78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93,1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7950500000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6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55 115,83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54 973,26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4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7952400000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50,58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50,6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5 539,12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5 539,10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5 505,10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5 505,08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0916040400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156,90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127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1016540670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1016540670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1 547,60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4239900000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3 785,58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9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0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1238140790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Культура и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49 476,71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49 383,58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39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47 531,86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47 438,92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26 638,48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26 573,10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26 638,48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26 573,10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99,8</w:t>
            </w:r>
          </w:p>
        </w:tc>
      </w:tr>
      <w:tr w:rsidR="00681C62" w:rsidRPr="00681C62" w:rsidTr="00F0037D">
        <w:trPr>
          <w:trHeight w:val="16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6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1016440650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23 611,50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1016440660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861,60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Поддержка отрасли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10193L5190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90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10193L5190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681C62" w:rsidRPr="00681C62" w:rsidTr="00F0037D">
        <w:trPr>
          <w:trHeight w:val="103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10193L4670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10193L4670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1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97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1028200000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86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1028240690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21,10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43,4</w:t>
            </w:r>
          </w:p>
        </w:tc>
      </w:tr>
      <w:tr w:rsidR="00681C62" w:rsidRPr="00681C62" w:rsidTr="00F0037D">
        <w:trPr>
          <w:trHeight w:val="7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4409900000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13 605,92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Музеи и постоянные выставки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4419900000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1 050,79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4429900000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5 395,18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и ведомственные программы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692,83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692,83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7951100000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677,83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9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7951800000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04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Резервные фонды исполнительного органа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государственной власти субъекта Российской Федерации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9900200000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1 944,66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40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1 944,66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1 772,20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1 772,16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9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171,45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171,44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1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907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4529900000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88,5</w:t>
            </w:r>
          </w:p>
        </w:tc>
      </w:tr>
      <w:tr w:rsidR="00681C62" w:rsidRPr="00681C62" w:rsidTr="00F0037D">
        <w:trPr>
          <w:trHeight w:val="4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Контрольно-счетный орган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6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132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3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851,48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825,72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7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25,69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99,4</w:t>
            </w:r>
          </w:p>
        </w:tc>
      </w:tr>
      <w:tr w:rsidR="00681C62" w:rsidRPr="00681C62" w:rsidTr="00F0037D">
        <w:trPr>
          <w:trHeight w:val="636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0020400000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99,5</w:t>
            </w:r>
          </w:p>
        </w:tc>
      </w:tr>
      <w:tr w:rsidR="00681C62" w:rsidRPr="00681C62" w:rsidTr="00F0037D">
        <w:trPr>
          <w:trHeight w:val="70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45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4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103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0600000000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16 137,34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14 147,70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87,7</w:t>
            </w:r>
          </w:p>
        </w:tc>
      </w:tr>
      <w:tr w:rsidR="00681C62" w:rsidRPr="00681C62" w:rsidTr="00F0037D">
        <w:trPr>
          <w:trHeight w:val="1128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0618100000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11 478,04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10 409,53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90,7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0618145420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9 560,00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8 515,74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89,1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0618145420</w:t>
            </w:r>
          </w:p>
        </w:tc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9 560,00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8 515,74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89,1</w:t>
            </w:r>
          </w:p>
        </w:tc>
      </w:tr>
      <w:tr w:rsidR="00681C62" w:rsidRPr="00681C62" w:rsidTr="00F0037D">
        <w:trPr>
          <w:trHeight w:val="468"/>
        </w:trPr>
        <w:tc>
          <w:tcPr>
            <w:tcW w:w="336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Повышение продуктивности в молочном скотоводстве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06181R5420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1 918,04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1 893,79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06181R5420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1 918,04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1 893,79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98,7</w:t>
            </w:r>
          </w:p>
        </w:tc>
      </w:tr>
      <w:tr w:rsidR="00681C62" w:rsidRPr="00681C62" w:rsidTr="00F0037D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Поддержка малых форм хозяйствования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2 449,00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1 534,02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62,6</w:t>
            </w:r>
          </w:p>
        </w:tc>
      </w:tr>
      <w:tr w:rsidR="00681C62" w:rsidRPr="00681C62" w:rsidTr="00F0037D">
        <w:trPr>
          <w:trHeight w:val="7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197,59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158,07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80,0</w:t>
            </w:r>
          </w:p>
        </w:tc>
      </w:tr>
      <w:tr w:rsidR="00681C62" w:rsidRPr="00681C62" w:rsidTr="00F0037D">
        <w:trPr>
          <w:trHeight w:val="1380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2 251,41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1 375,95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61,1</w:t>
            </w:r>
          </w:p>
        </w:tc>
      </w:tr>
      <w:tr w:rsidR="00681C62" w:rsidRPr="00681C62" w:rsidTr="00F0037D">
        <w:trPr>
          <w:trHeight w:val="152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2 163,86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99,7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1 963,05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1 961,57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99,9</w:t>
            </w:r>
          </w:p>
        </w:tc>
      </w:tr>
      <w:tr w:rsidR="00681C62" w:rsidRPr="00681C62" w:rsidTr="00F0037D">
        <w:trPr>
          <w:trHeight w:val="552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206,43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201,77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97,7</w:t>
            </w:r>
          </w:p>
        </w:tc>
      </w:tr>
      <w:tr w:rsidR="00681C62" w:rsidRPr="00681C62" w:rsidTr="00F0037D">
        <w:trPr>
          <w:trHeight w:val="675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0618240210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984"/>
        </w:trPr>
        <w:tc>
          <w:tcPr>
            <w:tcW w:w="3369" w:type="dxa"/>
            <w:gridSpan w:val="2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0618800000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06188R5430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82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06188R5430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40,30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681C62" w:rsidRPr="00681C62" w:rsidTr="00F0037D">
        <w:trPr>
          <w:trHeight w:val="276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81C62" w:rsidRPr="00681C62" w:rsidRDefault="00681C62" w:rsidP="00681C62">
      <w:pPr>
        <w:spacing w:after="0" w:line="240" w:lineRule="auto"/>
        <w:ind w:left="851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RANGE!D1:L69"/>
      <w:bookmarkStart w:id="1" w:name="RANGE!D1:K83"/>
      <w:bookmarkEnd w:id="0"/>
      <w:bookmarkEnd w:id="1"/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Layout w:type="fixed"/>
        <w:tblLook w:val="0000"/>
      </w:tblPr>
      <w:tblGrid>
        <w:gridCol w:w="4608"/>
        <w:gridCol w:w="5031"/>
      </w:tblGrid>
      <w:tr w:rsidR="00681C62" w:rsidRPr="00681C62" w:rsidTr="007A139C">
        <w:tc>
          <w:tcPr>
            <w:tcW w:w="4608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1" w:type="dxa"/>
          </w:tcPr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139C" w:rsidRDefault="007A139C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3 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распоряжению Администрации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Первомайского района </w:t>
            </w:r>
          </w:p>
        </w:tc>
      </w:tr>
      <w:tr w:rsidR="00681C62" w:rsidRPr="00681C62" w:rsidTr="007A139C">
        <w:tc>
          <w:tcPr>
            <w:tcW w:w="4608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31" w:type="dxa"/>
          </w:tcPr>
          <w:p w:rsidR="00681C62" w:rsidRPr="00681C62" w:rsidRDefault="007A139C" w:rsidP="007A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07.11.2018</w:t>
            </w:r>
            <w:r w:rsidR="00681C62"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702-р</w:t>
            </w:r>
            <w:r w:rsidR="00681C62" w:rsidRPr="00681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</w:tr>
    </w:tbl>
    <w:p w:rsidR="00681C62" w:rsidRPr="00681C62" w:rsidRDefault="00681C62" w:rsidP="00681C62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C62" w:rsidRPr="00681C62" w:rsidRDefault="00681C62" w:rsidP="00681C62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C62" w:rsidRPr="00681C62" w:rsidRDefault="00681C62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Отчет об </w:t>
      </w:r>
      <w:r w:rsidR="007A139C" w:rsidRPr="00681C62">
        <w:rPr>
          <w:rFonts w:ascii="Times New Roman" w:eastAsia="Times New Roman" w:hAnsi="Times New Roman" w:cs="Times New Roman"/>
          <w:b/>
          <w:bCs/>
          <w:lang w:eastAsia="ru-RU"/>
        </w:rPr>
        <w:t>источниках финансирования</w:t>
      </w: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81C62" w:rsidRPr="00681C62" w:rsidRDefault="007A139C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дефицита бюджета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 «Первомайский район»</w:t>
      </w:r>
    </w:p>
    <w:p w:rsidR="00681C62" w:rsidRPr="00681C62" w:rsidRDefault="007A139C" w:rsidP="00681C6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за 3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81C62">
        <w:rPr>
          <w:rFonts w:ascii="Times New Roman" w:eastAsia="Times New Roman" w:hAnsi="Times New Roman" w:cs="Times New Roman"/>
          <w:b/>
          <w:bCs/>
          <w:lang w:eastAsia="ru-RU"/>
        </w:rPr>
        <w:t>квартал 2018</w:t>
      </w:r>
      <w:r w:rsidR="00681C62" w:rsidRPr="00681C62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="007A139C">
        <w:rPr>
          <w:rFonts w:ascii="Times New Roman" w:eastAsia="Times New Roman" w:hAnsi="Times New Roman" w:cs="Times New Roman"/>
          <w:lang w:eastAsia="ru-RU"/>
        </w:rPr>
        <w:t xml:space="preserve">                             (</w:t>
      </w:r>
      <w:r w:rsidRPr="00681C62">
        <w:rPr>
          <w:rFonts w:ascii="Times New Roman" w:eastAsia="Times New Roman" w:hAnsi="Times New Roman" w:cs="Times New Roman"/>
          <w:lang w:eastAsia="ru-RU"/>
        </w:rPr>
        <w:t>тыс. рублей</w:t>
      </w:r>
      <w:r w:rsidR="007A139C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pPr w:leftFromText="180" w:rightFromText="180" w:vertAnchor="text" w:horzAnchor="margin" w:tblpXSpec="right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291"/>
        <w:gridCol w:w="1275"/>
        <w:gridCol w:w="1230"/>
      </w:tblGrid>
      <w:tr w:rsidR="00681C62" w:rsidRPr="00681C62" w:rsidTr="00681C62"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tabs>
                <w:tab w:val="left" w:pos="1152"/>
              </w:tabs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681C62" w:rsidRPr="00681C62" w:rsidTr="00681C62"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01 03 0100 05 0000 810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-2525,0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-2525,0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62" w:rsidRPr="00681C62" w:rsidTr="00681C62"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01 05 00 00 0000 00 000</w:t>
            </w:r>
          </w:p>
        </w:tc>
        <w:tc>
          <w:tcPr>
            <w:tcW w:w="5291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7009,7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-9061,0</w:t>
            </w:r>
          </w:p>
        </w:tc>
      </w:tr>
      <w:tr w:rsidR="00681C62" w:rsidRPr="00681C62" w:rsidTr="00681C62">
        <w:trPr>
          <w:trHeight w:val="567"/>
        </w:trPr>
        <w:tc>
          <w:tcPr>
            <w:tcW w:w="2518" w:type="dxa"/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1" w:type="dxa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-4484,7</w:t>
            </w:r>
          </w:p>
        </w:tc>
        <w:tc>
          <w:tcPr>
            <w:tcW w:w="1230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-11586,0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A139C" w:rsidRDefault="007A139C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4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>к распоряжению Администрации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>Первомайского района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от </w:t>
      </w:r>
      <w:r w:rsidR="007A139C">
        <w:rPr>
          <w:rFonts w:ascii="Times New Roman" w:eastAsia="Times New Roman" w:hAnsi="Times New Roman" w:cs="Times New Roman"/>
          <w:szCs w:val="24"/>
          <w:lang w:eastAsia="ru-RU"/>
        </w:rPr>
        <w:t>07.11.2018</w:t>
      </w: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г. №</w:t>
      </w:r>
      <w:r w:rsidR="007A139C">
        <w:rPr>
          <w:rFonts w:ascii="Times New Roman" w:eastAsia="Times New Roman" w:hAnsi="Times New Roman" w:cs="Times New Roman"/>
          <w:szCs w:val="24"/>
          <w:lang w:eastAsia="ru-RU"/>
        </w:rPr>
        <w:t>702-р</w:t>
      </w:r>
      <w:r w:rsidRPr="00681C62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Отчет о выполнении Программы приватизации (продажи)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муниципального имущества Первомайского района за 3 квартал  2018 год</w:t>
      </w: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  <w:t xml:space="preserve">                        </w:t>
      </w:r>
    </w:p>
    <w:p w:rsidR="00681C62" w:rsidRPr="00681C62" w:rsidRDefault="00681C62" w:rsidP="007A139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рублей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23"/>
        <w:gridCol w:w="1984"/>
        <w:gridCol w:w="1559"/>
        <w:gridCol w:w="1418"/>
        <w:gridCol w:w="1559"/>
      </w:tblGrid>
      <w:tr w:rsidR="00681C62" w:rsidRPr="00681C62" w:rsidTr="007A139C">
        <w:trPr>
          <w:trHeight w:val="1518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приватизируемого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Местонахождение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доходы в бюджет Первомайского района (руб.)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7A139C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сделки приватизации </w:t>
            </w:r>
          </w:p>
        </w:tc>
      </w:tr>
      <w:tr w:rsidR="00681C62" w:rsidRPr="00681C62" w:rsidTr="007A139C">
        <w:trPr>
          <w:trHeight w:val="1474"/>
        </w:trPr>
        <w:tc>
          <w:tcPr>
            <w:tcW w:w="540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(производственный цех), 189 кв.м.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Первомайское, ул. Ленинская, 95, строение 3, пом. 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2000,00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р.                           Итоги продажи отменены распоряжением  Администрации Первомайского района № 226-р от 11.04.2018</w:t>
            </w: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№1 общей площадью 232,9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Первомайское, ул. Карла Маркса, 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1 337 613,00</w:t>
            </w:r>
          </w:p>
        </w:tc>
        <w:tc>
          <w:tcPr>
            <w:tcW w:w="1418" w:type="dxa"/>
            <w:vMerge w:val="restart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864 897,67</w:t>
            </w:r>
          </w:p>
        </w:tc>
        <w:tc>
          <w:tcPr>
            <w:tcW w:w="1559" w:type="dxa"/>
            <w:vMerge w:val="restart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864897,67</w:t>
            </w: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№2 общей площадью 396,1 кв.м.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1 314 кв.м. с кадастровым номером 70:12:0203001:1352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151 412,00</w:t>
            </w:r>
          </w:p>
        </w:tc>
        <w:tc>
          <w:tcPr>
            <w:tcW w:w="1418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одноэтажное здание общей площадью 1 033,6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1 334 034,00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9 941 кв.м. с кадастровым номером 70:12:0200020:7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492 705,00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трехэтажное здание (подземных этажей – 1), общей площадью 1 355,1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2 860 517,95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2 116 119,1</w:t>
            </w: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2 116 119,10</w:t>
            </w:r>
          </w:p>
        </w:tc>
      </w:tr>
      <w:tr w:rsidR="00681C62" w:rsidRPr="00681C62" w:rsidTr="007A139C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общей площадью 5 884 кв.м. с кадастровым номером </w:t>
            </w: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70:12:0201001:95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151 454,00</w:t>
            </w:r>
          </w:p>
        </w:tc>
        <w:tc>
          <w:tcPr>
            <w:tcW w:w="1418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9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- проходная общей площадью 33,4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48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лесопильный цех общей площадью 327,5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3/2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2 500 000,00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25 656  с кадастровым номером 70:12:0201001:101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Путейская, д. 3Б/2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2 130 000,00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одноэтажное здание общей площадью 817 кв.м.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Первомайский район, п.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Зеленая, д. 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9 089 кв.м. с кадастровым номером 70:12:0201002:1051</w:t>
            </w: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-  трансформаторная подстанция общей площадью 33,1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здание технической эксплуатации флота общей площадью 385,1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2632 000,00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кузнечный цех общей площадью 70,1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1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17232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с кадастровым номером 70:12:0201001:102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3Б/1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1 520 000,00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общей площадью 35 553 кв.м. с кадастровым номером 70:12:0201001:100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2 640 000,00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1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- столярный цех общей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площадью 996,8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Томская область, Первомайский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3 785 000,00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механический цех общей площадью 934,8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3 392 000,00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0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здание– котельная паросиловая, общей площадью 242,3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9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–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корпусно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– сварочный цех, общей площадью 712,4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4305 000,00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гараж, общей площадью 703,1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2 461 000,00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общей площадью 7, 54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2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гараж тракторный, общей площадью 136,7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15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Нежилое здание – материальный склад, общей площадью 1 581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3/15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5 828 000,00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76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23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здание –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караванка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общей площадью 124,20 м</w:t>
            </w:r>
            <w:r w:rsidRPr="00681C6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Томская область, Первомайский район, п. 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Беляй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, ул. Путейская, д. 3/17</w:t>
            </w: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240 000,00</w:t>
            </w:r>
          </w:p>
        </w:tc>
        <w:tc>
          <w:tcPr>
            <w:tcW w:w="1418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1C62" w:rsidRPr="00681C62" w:rsidTr="007A139C">
        <w:trPr>
          <w:trHeight w:val="340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42 189 735,95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2 983 016,77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Layout w:type="fixed"/>
        <w:tblLook w:val="0000"/>
      </w:tblPr>
      <w:tblGrid>
        <w:gridCol w:w="9639"/>
      </w:tblGrid>
      <w:tr w:rsidR="00681C62" w:rsidRPr="00681C62" w:rsidTr="007A139C">
        <w:tc>
          <w:tcPr>
            <w:tcW w:w="9639" w:type="dxa"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1C62" w:rsidRPr="00681C62" w:rsidRDefault="00681C62" w:rsidP="00681C62">
            <w:pPr>
              <w:tabs>
                <w:tab w:val="left" w:pos="308"/>
                <w:tab w:val="right" w:pos="995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Приложение 5 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 распоряжению Администрации</w:t>
            </w:r>
          </w:p>
          <w:p w:rsidR="00681C62" w:rsidRPr="00681C62" w:rsidRDefault="00681C62" w:rsidP="00681C62">
            <w:pPr>
              <w:keepNext/>
              <w:tabs>
                <w:tab w:val="left" w:pos="7088"/>
              </w:tabs>
              <w:spacing w:after="0" w:line="240" w:lineRule="auto"/>
              <w:ind w:left="-108" w:hanging="180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Первомайского района </w:t>
            </w:r>
          </w:p>
        </w:tc>
      </w:tr>
      <w:tr w:rsidR="00681C62" w:rsidRPr="00681C62" w:rsidTr="007A139C">
        <w:tc>
          <w:tcPr>
            <w:tcW w:w="9639" w:type="dxa"/>
          </w:tcPr>
          <w:p w:rsidR="00681C62" w:rsidRPr="00681C62" w:rsidRDefault="00681C62" w:rsidP="007A1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 </w:t>
            </w:r>
            <w:r w:rsidR="007A139C">
              <w:rPr>
                <w:rFonts w:ascii="Times New Roman" w:eastAsia="Times New Roman" w:hAnsi="Times New Roman" w:cs="Times New Roman"/>
                <w:lang w:eastAsia="ru-RU"/>
              </w:rPr>
              <w:t xml:space="preserve">07.11.2018 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A139C">
              <w:rPr>
                <w:rFonts w:ascii="Times New Roman" w:eastAsia="Times New Roman" w:hAnsi="Times New Roman" w:cs="Times New Roman"/>
                <w:lang w:eastAsia="ru-RU"/>
              </w:rPr>
              <w:t>702-р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681C62">
        <w:rPr>
          <w:rFonts w:ascii="Cambria" w:eastAsia="Times New Roman" w:hAnsi="Cambria" w:cs="Times New Roman"/>
          <w:b/>
          <w:bCs/>
          <w:lang w:eastAsia="ru-RU"/>
        </w:rPr>
        <w:t>Отчет о выполнении   Программы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муниципальных внутренних заимствований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Первомайского района за 3 квартал 2018 года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Перечень внутренних заимствований (привлечение/ погашение) Первомайского района 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за 3 квартал 2018 года</w:t>
      </w: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Pr="00681C62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</w:r>
      <w:r w:rsidR="007A139C">
        <w:rPr>
          <w:rFonts w:ascii="Times New Roman" w:eastAsia="Times New Roman" w:hAnsi="Times New Roman" w:cs="Times New Roman"/>
          <w:lang w:eastAsia="ru-RU"/>
        </w:rPr>
        <w:tab/>
        <w:t xml:space="preserve">                      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 тыс. рублей</w:t>
      </w:r>
    </w:p>
    <w:tbl>
      <w:tblPr>
        <w:tblW w:w="9526" w:type="dxa"/>
        <w:tblInd w:w="108" w:type="dxa"/>
        <w:tblLayout w:type="fixed"/>
        <w:tblLook w:val="00A0"/>
      </w:tblPr>
      <w:tblGrid>
        <w:gridCol w:w="5529"/>
        <w:gridCol w:w="2126"/>
        <w:gridCol w:w="1871"/>
      </w:tblGrid>
      <w:tr w:rsidR="00681C62" w:rsidRPr="00681C62" w:rsidTr="007A139C">
        <w:trPr>
          <w:trHeight w:val="52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внутренних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Думы Первомайского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Исполнение</w:t>
            </w:r>
          </w:p>
        </w:tc>
      </w:tr>
      <w:tr w:rsidR="00681C62" w:rsidRPr="00681C62" w:rsidTr="007A139C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Кредиты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-2525,0</w:t>
            </w:r>
          </w:p>
        </w:tc>
      </w:tr>
      <w:tr w:rsidR="00681C62" w:rsidRPr="00681C62" w:rsidTr="007A139C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81C62" w:rsidRPr="00681C62" w:rsidTr="007A139C">
        <w:trPr>
          <w:trHeight w:val="10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</w:tr>
      <w:tr w:rsidR="00681C62" w:rsidRPr="00681C62" w:rsidTr="007A139C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объем привлечения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681C62" w:rsidRPr="00681C62" w:rsidTr="007A139C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Cs/>
                <w:lang w:eastAsia="ru-RU"/>
              </w:rPr>
              <w:t>-2525,0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A139C" w:rsidRDefault="007A139C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Приложение 6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к распоряжению Администрации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lastRenderedPageBreak/>
        <w:t xml:space="preserve">Первомайского района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A139C">
        <w:rPr>
          <w:rFonts w:ascii="Times New Roman" w:eastAsia="Times New Roman" w:hAnsi="Times New Roman" w:cs="Times New Roman"/>
          <w:lang w:eastAsia="ru-RU"/>
        </w:rPr>
        <w:t>07.11.2018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A139C">
        <w:rPr>
          <w:rFonts w:ascii="Times New Roman" w:eastAsia="Times New Roman" w:hAnsi="Times New Roman" w:cs="Times New Roman"/>
          <w:lang w:eastAsia="ru-RU"/>
        </w:rPr>
        <w:t>702-р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ind w:right="19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Отчёт</w:t>
      </w:r>
    </w:p>
    <w:p w:rsidR="00681C62" w:rsidRPr="00681C62" w:rsidRDefault="00A56D71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об использовании</w:t>
      </w:r>
      <w:r w:rsidR="00681C62" w:rsidRPr="00681C62">
        <w:rPr>
          <w:rFonts w:ascii="Times New Roman" w:eastAsia="Times New Roman" w:hAnsi="Times New Roman" w:cs="Times New Roman"/>
          <w:b/>
          <w:lang w:eastAsia="ru-RU"/>
        </w:rPr>
        <w:t xml:space="preserve"> бюджетных ассигнований резервного фонда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 xml:space="preserve"> финансирования непредвиденных расходов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lang w:eastAsia="ru-RU"/>
        </w:rPr>
        <w:t>Администрации Первомайского района за 3 квартал 2018 года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Фонд финансирования непредвиденных расходов </w:t>
      </w:r>
      <w:r w:rsidR="00A56D71" w:rsidRPr="00681C62">
        <w:rPr>
          <w:rFonts w:ascii="Times New Roman" w:eastAsia="Times New Roman" w:hAnsi="Times New Roman" w:cs="Times New Roman"/>
          <w:lang w:eastAsia="ru-RU"/>
        </w:rPr>
        <w:t>Администрации Первомайского</w:t>
      </w:r>
      <w:r w:rsidRPr="00681C62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81C62" w:rsidRPr="00681C62" w:rsidRDefault="00681C62" w:rsidP="00681C6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тыс. рублей</w:t>
      </w:r>
    </w:p>
    <w:tbl>
      <w:tblPr>
        <w:tblW w:w="90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8"/>
        <w:gridCol w:w="2438"/>
      </w:tblGrid>
      <w:tr w:rsidR="00681C62" w:rsidRPr="00681C62" w:rsidTr="00A56D71"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681C62" w:rsidRPr="00681C62" w:rsidTr="00A56D71">
        <w:trPr>
          <w:trHeight w:val="1089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праздничных и юбилейных мероприятий, 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приобретение подарков, выплата денежных премий,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траурные мероприятия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1C62" w:rsidRPr="00681C62" w:rsidTr="00A56D71">
        <w:trPr>
          <w:trHeight w:val="803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Оказание помощи учреждениям и организациям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на укрепление материально-технической базы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81C62" w:rsidRPr="00681C62" w:rsidTr="00A56D71">
        <w:trPr>
          <w:trHeight w:val="781"/>
        </w:trPr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Прочие расходы </w:t>
            </w:r>
          </w:p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(межбюджетные трансферты поселениям)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  <w:p w:rsidR="00681C62" w:rsidRPr="00681C62" w:rsidRDefault="00681C62" w:rsidP="00681C62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1C62" w:rsidRPr="00681C62" w:rsidTr="00A56D71">
        <w:tc>
          <w:tcPr>
            <w:tcW w:w="6618" w:type="dxa"/>
            <w:tcBorders>
              <w:right w:val="single" w:sz="4" w:space="0" w:color="auto"/>
            </w:tcBorders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shd w:val="clear" w:color="auto" w:fill="auto"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26,00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6D71" w:rsidRPr="00681C62" w:rsidRDefault="00A56D71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>Приложение 7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t xml:space="preserve">к распоряжению Администрации </w:t>
      </w:r>
    </w:p>
    <w:p w:rsidR="00681C62" w:rsidRPr="00681C62" w:rsidRDefault="00681C62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81C62">
        <w:rPr>
          <w:rFonts w:ascii="Times New Roman" w:eastAsia="Times New Roman" w:hAnsi="Times New Roman" w:cs="Times New Roman"/>
          <w:lang w:eastAsia="ru-RU"/>
        </w:rPr>
        <w:lastRenderedPageBreak/>
        <w:t xml:space="preserve">Первомайского района </w:t>
      </w:r>
    </w:p>
    <w:p w:rsidR="00681C62" w:rsidRPr="00681C62" w:rsidRDefault="00A56D71" w:rsidP="00681C6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681C62" w:rsidRPr="00681C62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07.11.2018</w:t>
      </w:r>
      <w:r w:rsidR="00681C62" w:rsidRPr="00681C62">
        <w:rPr>
          <w:rFonts w:ascii="Times New Roman" w:eastAsia="Times New Roman" w:hAnsi="Times New Roman" w:cs="Times New Roman"/>
          <w:lang w:eastAsia="ru-RU"/>
        </w:rPr>
        <w:t xml:space="preserve"> 2018  №</w:t>
      </w:r>
      <w:r>
        <w:rPr>
          <w:rFonts w:ascii="Times New Roman" w:eastAsia="Times New Roman" w:hAnsi="Times New Roman" w:cs="Times New Roman"/>
          <w:lang w:eastAsia="ru-RU"/>
        </w:rPr>
        <w:t xml:space="preserve"> 702-р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45" w:type="dxa"/>
        <w:tblInd w:w="94" w:type="dxa"/>
        <w:tblLayout w:type="fixed"/>
        <w:tblLook w:val="04A0"/>
      </w:tblPr>
      <w:tblGrid>
        <w:gridCol w:w="513"/>
        <w:gridCol w:w="4851"/>
        <w:gridCol w:w="1369"/>
        <w:gridCol w:w="1257"/>
        <w:gridCol w:w="1555"/>
      </w:tblGrid>
      <w:tr w:rsidR="00681C62" w:rsidRPr="00681C62" w:rsidTr="00A56D71">
        <w:trPr>
          <w:trHeight w:val="1080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об исполнении муниципального дорожного фонда бюджета</w:t>
            </w:r>
            <w:r w:rsidRPr="00681C62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муниципального образования "Первомайский район» за 3 квартал 2018 год</w:t>
            </w:r>
          </w:p>
        </w:tc>
      </w:tr>
      <w:tr w:rsidR="00681C62" w:rsidRPr="00681C62" w:rsidTr="00A56D71">
        <w:trPr>
          <w:trHeight w:val="5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(тыс.рублей)</w:t>
            </w:r>
          </w:p>
        </w:tc>
      </w:tr>
      <w:tr w:rsidR="00681C62" w:rsidRPr="00681C62" w:rsidTr="00A56D71">
        <w:trPr>
          <w:trHeight w:val="6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681C62" w:rsidRPr="00681C62" w:rsidTr="00A56D71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81C62" w:rsidRPr="00681C62" w:rsidTr="00A56D71">
        <w:trPr>
          <w:trHeight w:val="14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Доходы,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30 546,52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29 980,86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681C62" w:rsidRPr="00681C62" w:rsidTr="00A56D71">
        <w:trPr>
          <w:trHeight w:val="93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1 362,00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1 552,00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</w:tr>
      <w:tr w:rsidR="00681C62" w:rsidRPr="00681C62" w:rsidTr="00A56D71">
        <w:trPr>
          <w:trHeight w:val="316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Прочая субсидия в рамках государственной программы "Развитие транспортной системы Томской области" подпрограммы "Сохранение и развитие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br/>
              <w:t>автомобильных дорог Томской области"  на капитальный ремонт и 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28027,0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27271,34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681C62" w:rsidRPr="00681C62" w:rsidTr="00A56D71">
        <w:trPr>
          <w:trHeight w:val="19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1157,52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1157,52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31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Расходы, в том числе: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28 684,02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28 677,74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</w:t>
            </w:r>
            <w:r w:rsidR="00A56D71" w:rsidRPr="00681C62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1 126,29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99,96</w:t>
            </w:r>
          </w:p>
        </w:tc>
      </w:tr>
      <w:tr w:rsidR="00681C62" w:rsidRPr="00681C62" w:rsidTr="00A56D71">
        <w:trPr>
          <w:trHeight w:val="15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81C62" w:rsidRPr="00681C62" w:rsidTr="00A56D71">
        <w:trPr>
          <w:trHeight w:val="7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1 717,35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lang w:eastAsia="ru-RU"/>
              </w:rPr>
              <w:t>99,67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исполнению налоговых и неналоговых доходов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бюджета муниципального образования «Первомайский район» </w:t>
      </w:r>
    </w:p>
    <w:p w:rsidR="00681C62" w:rsidRPr="00681C62" w:rsidRDefault="00681C62" w:rsidP="0068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3 квартал </w:t>
      </w:r>
      <w:r w:rsidRPr="00681C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2018 года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C62" w:rsidRPr="00A56D71" w:rsidRDefault="00681C62" w:rsidP="00681C6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01.10.2018 года исполнение налоговых и неналоговых доходов бюджета МО «Первомайский район» составило 72 069,9 тыс.руб., или 76,0 % годового плана, квартальный план выполнен на 105,3 %. Темп роста в сопоставимых условиях к уровню прошлого года составил 126,7 %.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НДФЛ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Сумма НДФЛ, поступившая на 01.10.2018 год составляет 52 990,3 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годовой план в сумме 71165,9 тыс.руб., выполнен на 74,5 %, темп роста в сопоставимых условиях составляет 107,8 %.  Рост поступлений от НДФЛ работников бюджетной сферы, связан с реализацией майских Указов Президента.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АКЦИЗЫ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Доходы от уплаты акцизов поступили в  бюджет Первомайского района в сумме 1 552,0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Годовой план в сумме 1922,0 тыс.руб. выполнен на 80,7 %.  Темп роста к уровню прошлого года составил 111,3 %. Кассовый план, по данному виду доходов, предоставлен главным администратором. Рост поступлений вызван ростом цен на нефтепродукты.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УСН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от упрощенной системы налогообложения по состоянию на 01.10.2018  года составили 3 795,8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это 100,9 % исполнения годового плана. Темп роста к уровню прошлого года составил 137,9 %. На перевыполнение плановых назначений существенное влияние оказал платеж за 2017 год от Максимова С.В. в размере 1982,0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в прошлом году , за аналогичный период поступления составили 503,0 тыс.руб., декларация не предоставлена.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ЕНВД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план  по</w:t>
      </w: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Единому налогу на вмененный доход выполнен на 63,2 %, сумма поступлений составила 2 150,4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квартальный план выполнен на 83,7%.  Темп роста к уровню прошлого года составил 88,6 %. В связи с переходом налогоплательщиков на упрощенную систему налогообложения, снизились показатели исполнения по</w:t>
      </w: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Единому налогу на вмененный доход. Также была уточнена, ошибочно перечисленная, сумма 278,2 тыс.руб.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ЕСХН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план по ЕСХН  перевыполнен,</w:t>
      </w: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по данному виду доходов составили 74,8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уб., в прошлом году поступления составили 109,7 тыс.руб.  -  ООО КХ «Маяк» погасило задолженность по декларации за 2015 год. План 2018 года перевыполнен, т.к. на момент составления плана отсутствовала информация по увеличенным  начислениям налога по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Кибисову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ООО «КХ Родина»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НДПИ</w:t>
      </w:r>
    </w:p>
    <w:p w:rsidR="00681C62" w:rsidRPr="00A56D71" w:rsidRDefault="00681C62" w:rsidP="00681C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Поступления по налогу на добычу полезных ископаемых составило 935,8 тыс.руб. Годовой план в сумме 201,0 тыс.руб. перевыполнен. В 2017 году налогоплательщик –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Чичкаюльский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ЛПХ» получил лицензию на добычу песчано-гравийной смеси, чем и повлиял на рост поступлений НДПИ.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Государственная пошлина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План 2018 года по государственной пошлине выполнен на 90,1 %. Темп роста, к уровню прошлого года,  составил 135,4 %.  Поступления по данному виду дохода составили 1 065,0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уб..  Основными поступлениями, в бюджет муниципального образования,  являются -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отмененному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использования имущества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2018 года по доходам от использования имущества, находящегося в государственной и муниципальной собственности в сумме 6 124,1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 выполнен на 82,5 %., поступления по данному виду доходов составили 5 053,3 тыс.руб.,  темп роста к уровню прошлого года составил 126,7 %.         Происходит увеличение по всем доходным источникам по сравнению с прошлым годом, что говорит об увеличении сдачи в аренду земельных участков и имущества.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Плата за негативное воздействие на окружающую среду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Поступление платы за негативное воздействие на окружающую среду в 3 квартале 2018 года составило 205,9 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уб., это 124,6 % исполнения годового плана , с темпом роста 170,2% к уровню прошлого года. Крупными налогоплательщиками, с недавних пор, являются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Чичкаюльский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леспромхоз», ООО «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Чулымлес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», которые перечисляют плату за выбросы загрязняющих веществ в атмосферный воздух передвижными и стационарными объектами и плату за размещение отходов производства и потребления. Они осуществляют плату ежеквартально.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продажи материальных и нематериальных активов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доходов от продажи материальных и нематериальных активов в 3 квартале 2018 года составили 3 188,2 тыс.руб., годовой план выполнен на 63,6%. Было продано имущество:</w:t>
      </w:r>
    </w:p>
    <w:tbl>
      <w:tblPr>
        <w:tblW w:w="10080" w:type="dxa"/>
        <w:tblInd w:w="93" w:type="dxa"/>
        <w:tblLook w:val="04A0"/>
      </w:tblPr>
      <w:tblGrid>
        <w:gridCol w:w="9513"/>
        <w:gridCol w:w="567"/>
      </w:tblGrid>
      <w:tr w:rsidR="00681C62" w:rsidRPr="00A56D71" w:rsidTr="00681C62">
        <w:trPr>
          <w:trHeight w:val="135"/>
        </w:trPr>
        <w:tc>
          <w:tcPr>
            <w:tcW w:w="9513" w:type="dxa"/>
            <w:shd w:val="clear" w:color="auto" w:fill="auto"/>
            <w:vAlign w:val="center"/>
            <w:hideMark/>
          </w:tcPr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здание </w:t>
            </w:r>
            <w:proofErr w:type="spellStart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Чулымского</w:t>
            </w:r>
            <w:proofErr w:type="spellEnd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водных путей и судоходства, по адресу: </w:t>
            </w:r>
          </w:p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Томская область, Первомайский район, п. </w:t>
            </w:r>
            <w:proofErr w:type="spellStart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Беляй</w:t>
            </w:r>
            <w:proofErr w:type="spellEnd"/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 Путейская, д. 3., </w:t>
            </w:r>
          </w:p>
          <w:p w:rsidR="00681C62" w:rsidRPr="00A56D71" w:rsidRDefault="00681C62" w:rsidP="00681C62">
            <w:pPr>
              <w:spacing w:after="0" w:line="240" w:lineRule="auto"/>
              <w:ind w:right="-397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продажи – 2 116,0 тыс.руб..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81C62" w:rsidRPr="00A56D71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здание аптеки по адресу: Томская область, Первомайский район, с. Первомайское, ул. Карла Маркса, 23., сумма продажи – 864,0 тыс.руб..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Штрафы, санкции, возмещение ущерба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 штрафам, санкциям, возмещениям ущерба составило 1039,3 тыс.руб., это 58,6 % годового плана, с темпом роста к уровню прошлого года 73,7%. 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Доходы от платных услуг и компенсаций затрат государства.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виду дохода в бюджет района поступают только компенсации затрат бюджетов муниципальных районов, все платежи носят разовый характер. Доходов от платных услуг нет. Исполнение в 3 квартале 2018 года составило 29,2 тыс.руб..</w:t>
      </w:r>
    </w:p>
    <w:p w:rsidR="00681C62" w:rsidRPr="00A56D71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Прочие неналоговые доходы.</w:t>
      </w:r>
    </w:p>
    <w:p w:rsidR="00681C62" w:rsidRPr="00A56D71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виду доходов поступления на отчетную дату  составили    (-10,1 </w:t>
      </w:r>
      <w:proofErr w:type="spell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A5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планы по данному показателю не прогнозируются , т.к. на данный вид дохода поступают невыясненные платежи, после чего уточняются. </w:t>
      </w:r>
    </w:p>
    <w:p w:rsidR="00681C62" w:rsidRPr="00681C62" w:rsidRDefault="00681C62" w:rsidP="00681C6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1C62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(тыс.руб.)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837"/>
        <w:gridCol w:w="992"/>
        <w:gridCol w:w="851"/>
        <w:gridCol w:w="992"/>
        <w:gridCol w:w="992"/>
        <w:gridCol w:w="851"/>
        <w:gridCol w:w="992"/>
        <w:gridCol w:w="992"/>
        <w:gridCol w:w="851"/>
      </w:tblGrid>
      <w:tr w:rsidR="00681C62" w:rsidRPr="00681C62" w:rsidTr="00681C62">
        <w:trPr>
          <w:trHeight w:val="1368"/>
        </w:trPr>
        <w:tc>
          <w:tcPr>
            <w:tcW w:w="43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2017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2018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на 01.10.2018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Исполнено на 01.10.2017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плана 2018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в общей сумме доходов 2018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в общей сумме доходов 2017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2018г в % к 2017г.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81C62" w:rsidRPr="00681C62" w:rsidTr="00A56D71">
        <w:trPr>
          <w:trHeight w:val="3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73712,4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81648,9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62564,1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52377,7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A56D71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6D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119,4</w:t>
            </w:r>
          </w:p>
        </w:tc>
      </w:tr>
      <w:tr w:rsidR="00681C62" w:rsidRPr="00681C62" w:rsidTr="00681C62">
        <w:trPr>
          <w:trHeight w:val="52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 (доход), прирост капитала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63570,1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71165,9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52990,3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44732,8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107,8</w:t>
            </w:r>
          </w:p>
        </w:tc>
      </w:tr>
      <w:tr w:rsidR="00681C62" w:rsidRPr="00681C62" w:rsidTr="00681C62">
        <w:trPr>
          <w:trHeight w:val="49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63570,1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71165,9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52990,3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44732,8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107,8</w:t>
            </w:r>
          </w:p>
        </w:tc>
      </w:tr>
      <w:tr w:rsidR="00681C62" w:rsidRPr="00681C62" w:rsidTr="00681C62">
        <w:trPr>
          <w:trHeight w:val="46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7023,4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7178,0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6021,0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5289,9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787,4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294,7</w:t>
            </w:r>
          </w:p>
        </w:tc>
      </w:tr>
      <w:tr w:rsidR="00681C62" w:rsidRPr="00681C62" w:rsidTr="00681C62">
        <w:trPr>
          <w:trHeight w:val="68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3285,4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2150,4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2427,1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УСН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3795,8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2753,1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137,9</w:t>
            </w:r>
          </w:p>
        </w:tc>
      </w:tr>
      <w:tr w:rsidR="00681C62" w:rsidRPr="00681C62" w:rsidTr="00681C62">
        <w:trPr>
          <w:trHeight w:val="660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</w:tr>
      <w:tr w:rsidR="00681C62" w:rsidRPr="00681C62" w:rsidTr="00681C62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1877,9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1394,0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111,3</w:t>
            </w:r>
          </w:p>
        </w:tc>
      </w:tr>
      <w:tr w:rsidR="00681C62" w:rsidRPr="00681C62" w:rsidTr="00681C62">
        <w:trPr>
          <w:trHeight w:val="50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 на добычу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общераспростр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/и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935,8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536,6</w:t>
            </w:r>
          </w:p>
        </w:tc>
      </w:tr>
      <w:tr w:rsidR="00681C62" w:rsidRPr="00681C62" w:rsidTr="00681C62">
        <w:trPr>
          <w:trHeight w:val="3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1040,7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1182,0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786,6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135,4</w:t>
            </w:r>
          </w:p>
        </w:tc>
      </w:tr>
      <w:tr w:rsidR="00681C62" w:rsidRPr="00681C62" w:rsidTr="00681C62">
        <w:trPr>
          <w:trHeight w:val="163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по делам, рассматриваемым в судах общей юрисдикции, мировыми судьям</w:t>
            </w:r>
            <w:proofErr w:type="gram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искл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ГП по делам,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рассм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Верховным Судом РФ)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1040,7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1182,0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135,4</w:t>
            </w:r>
          </w:p>
        </w:tc>
      </w:tr>
      <w:tr w:rsidR="00681C62" w:rsidRPr="00681C62" w:rsidTr="00681C62">
        <w:trPr>
          <w:trHeight w:val="94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по отмененным налогам, сборам и обязательным платежам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A56D71">
        <w:trPr>
          <w:trHeight w:val="3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37" w:type="dxa"/>
            <w:shd w:val="clear" w:color="auto" w:fill="auto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7638,9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13178,1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9505,9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5318,3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178,7</w:t>
            </w:r>
          </w:p>
        </w:tc>
      </w:tr>
      <w:tr w:rsidR="00681C62" w:rsidRPr="00681C62" w:rsidTr="00681C62">
        <w:trPr>
          <w:trHeight w:val="117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5784,7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6124,1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5053,3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3989,1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126,7</w:t>
            </w:r>
          </w:p>
        </w:tc>
      </w:tr>
      <w:tr w:rsidR="00681C62" w:rsidRPr="00681C62" w:rsidTr="00681C62">
        <w:trPr>
          <w:trHeight w:val="888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платы за земли,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собственностьна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которые не разграничена1110501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5121,2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4419,8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3525,6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125,4</w:t>
            </w:r>
          </w:p>
        </w:tc>
      </w:tr>
      <w:tr w:rsidR="00681C62" w:rsidRPr="00681C62" w:rsidTr="00681C62">
        <w:trPr>
          <w:trHeight w:val="111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,получаемые в виде арендной </w:t>
            </w:r>
            <w:proofErr w:type="spellStart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платыза</w:t>
            </w:r>
            <w:proofErr w:type="spellEnd"/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земли, находящиеся в собственности районов, поселений1110502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164,6</w:t>
            </w:r>
          </w:p>
        </w:tc>
      </w:tr>
      <w:tr w:rsidR="00681C62" w:rsidRPr="00681C62" w:rsidTr="00681C62">
        <w:trPr>
          <w:trHeight w:val="92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районов, поселений1110503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650,3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622,8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136,3</w:t>
            </w:r>
          </w:p>
        </w:tc>
      </w:tr>
      <w:tr w:rsidR="00681C62" w:rsidRPr="00681C62" w:rsidTr="00681C62">
        <w:trPr>
          <w:trHeight w:val="9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от государственных и муниципальных унитарных предприятий 11107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681C62">
        <w:trPr>
          <w:trHeight w:val="480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205,9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170,2</w:t>
            </w:r>
          </w:p>
        </w:tc>
      </w:tr>
      <w:tr w:rsidR="00681C62" w:rsidRPr="00681C62" w:rsidTr="00681C62">
        <w:trPr>
          <w:trHeight w:val="69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205,9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170,2</w:t>
            </w:r>
          </w:p>
        </w:tc>
      </w:tr>
      <w:tr w:rsidR="00681C62" w:rsidRPr="00681C62" w:rsidTr="00681C62">
        <w:trPr>
          <w:trHeight w:val="912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</w:tr>
      <w:tr w:rsidR="00681C62" w:rsidRPr="00681C62" w:rsidTr="00681C62">
        <w:trPr>
          <w:trHeight w:val="74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5015,7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3188,2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-219,0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-0,4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-1455,8</w:t>
            </w:r>
          </w:p>
        </w:tc>
      </w:tr>
      <w:tr w:rsidR="00681C62" w:rsidRPr="00681C62" w:rsidTr="00681C62">
        <w:trPr>
          <w:trHeight w:val="516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1773,0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1039,3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1410,2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73,7</w:t>
            </w:r>
          </w:p>
        </w:tc>
      </w:tr>
      <w:tr w:rsidR="00681C62" w:rsidRPr="00681C62" w:rsidTr="00681C62">
        <w:trPr>
          <w:trHeight w:val="50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837" w:type="dxa"/>
            <w:shd w:val="clear" w:color="000000" w:fill="FFFFFF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1677,5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1773,0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1039,3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1410,2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</w:t>
            </w:r>
          </w:p>
        </w:tc>
      </w:tr>
      <w:tr w:rsidR="00681C62" w:rsidRPr="00681C62" w:rsidTr="00681C62">
        <w:trPr>
          <w:trHeight w:val="68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37" w:type="dxa"/>
            <w:shd w:val="clear" w:color="000000" w:fill="DBEEF3"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неналоговые доходы (невыясненные поступления)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-2,3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-10,1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-12,3</w:t>
            </w:r>
          </w:p>
        </w:tc>
        <w:tc>
          <w:tcPr>
            <w:tcW w:w="851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000000" w:fill="DBEEF3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681C62" w:rsidRPr="00681C62" w:rsidTr="00A56D71">
        <w:trPr>
          <w:trHeight w:val="264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37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доходов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81351,3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94826,9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72070,0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57696,0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C62" w:rsidRPr="00681C62" w:rsidRDefault="00681C62" w:rsidP="0068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1C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126,7</w:t>
            </w:r>
          </w:p>
        </w:tc>
      </w:tr>
    </w:tbl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1C62" w:rsidRPr="00681C62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Кассовое исполнение </w:t>
      </w:r>
      <w:r w:rsidRPr="00681C6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расходов </w:t>
      </w: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бюджета муниципального образования «Первомай</w:t>
      </w:r>
      <w:bookmarkStart w:id="2" w:name="_GoBack"/>
      <w:bookmarkEnd w:id="2"/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 район» за 3 квартал 2018 года составило 527973,4 тыс. рублей или 65,3% к плану на год.</w:t>
      </w:r>
    </w:p>
    <w:p w:rsidR="00681C62" w:rsidRPr="00681C62" w:rsidRDefault="00681C62" w:rsidP="00681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1C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структуре расходов местного бюджета  наибольший удельный вес занимают расходы на образование – 58 %, культура – 9,4 %,  жилищно-коммунальное хозяйство – 9,34%, национальная экономика – 8,4 %, общегосударственные вопросы – 6,2%, социальную политику –4,6 %.  </w:t>
      </w:r>
    </w:p>
    <w:p w:rsidR="00681C62" w:rsidRPr="00681C62" w:rsidRDefault="00681C62" w:rsidP="00681C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За 3 квартал текущего года районный бюджет исполнен с дефицитом в</w:t>
      </w:r>
      <w:r w:rsidRPr="00681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1C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объеме 11586,1 тыс. рублей.</w:t>
      </w: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681C62" w:rsidRDefault="00681C62" w:rsidP="0068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C62" w:rsidRPr="00B24475" w:rsidRDefault="00681C62" w:rsidP="00B24475">
      <w:pPr>
        <w:spacing w:after="0" w:line="240" w:lineRule="auto"/>
        <w:rPr>
          <w:sz w:val="20"/>
          <w:szCs w:val="20"/>
        </w:rPr>
      </w:pPr>
    </w:p>
    <w:sectPr w:rsidR="00681C62" w:rsidRPr="00B24475" w:rsidSect="00B2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6D9C"/>
    <w:rsid w:val="000E71C6"/>
    <w:rsid w:val="00270477"/>
    <w:rsid w:val="002C6701"/>
    <w:rsid w:val="003339AD"/>
    <w:rsid w:val="005A019F"/>
    <w:rsid w:val="00612E80"/>
    <w:rsid w:val="0061565B"/>
    <w:rsid w:val="00681C62"/>
    <w:rsid w:val="007434D0"/>
    <w:rsid w:val="00747E4D"/>
    <w:rsid w:val="007A139C"/>
    <w:rsid w:val="00860E2B"/>
    <w:rsid w:val="00A56D71"/>
    <w:rsid w:val="00A65D00"/>
    <w:rsid w:val="00B24475"/>
    <w:rsid w:val="00BE6664"/>
    <w:rsid w:val="00C36D9C"/>
    <w:rsid w:val="00DE724A"/>
    <w:rsid w:val="00F0037D"/>
    <w:rsid w:val="00F3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9C"/>
    <w:pPr>
      <w:spacing w:after="160" w:line="256" w:lineRule="auto"/>
    </w:pPr>
  </w:style>
  <w:style w:type="paragraph" w:styleId="2">
    <w:name w:val="heading 2"/>
    <w:basedOn w:val="a"/>
    <w:next w:val="a"/>
    <w:link w:val="20"/>
    <w:qFormat/>
    <w:rsid w:val="00681C62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36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81C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1C6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1C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D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6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0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1C6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1C6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1C62"/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C62"/>
  </w:style>
  <w:style w:type="character" w:styleId="a5">
    <w:name w:val="Hyperlink"/>
    <w:basedOn w:val="a0"/>
    <w:uiPriority w:val="99"/>
    <w:unhideWhenUsed/>
    <w:rsid w:val="00681C6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681C62"/>
    <w:rPr>
      <w:color w:val="800080"/>
      <w:u w:val="single"/>
    </w:rPr>
  </w:style>
  <w:style w:type="paragraph" w:customStyle="1" w:styleId="xl65">
    <w:name w:val="xl65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9">
    <w:name w:val="xl69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FF"/>
      <w:sz w:val="24"/>
      <w:szCs w:val="24"/>
      <w:lang w:eastAsia="ru-RU"/>
    </w:rPr>
  </w:style>
  <w:style w:type="paragraph" w:customStyle="1" w:styleId="xl70">
    <w:name w:val="xl70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customStyle="1" w:styleId="xl71">
    <w:name w:val="xl71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69696"/>
      <w:sz w:val="24"/>
      <w:szCs w:val="24"/>
      <w:lang w:eastAsia="ru-RU"/>
    </w:rPr>
  </w:style>
  <w:style w:type="paragraph" w:customStyle="1" w:styleId="xl72">
    <w:name w:val="xl72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  <w:lang w:eastAsia="ru-RU"/>
    </w:rPr>
  </w:style>
  <w:style w:type="paragraph" w:customStyle="1" w:styleId="xl73">
    <w:name w:val="xl73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customStyle="1" w:styleId="xl74">
    <w:name w:val="xl74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681C6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7">
    <w:name w:val="xl77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81C62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1">
    <w:name w:val="xl8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2">
    <w:name w:val="xl8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3">
    <w:name w:val="xl8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4">
    <w:name w:val="xl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6">
    <w:name w:val="xl8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7">
    <w:name w:val="xl8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8">
    <w:name w:val="xl8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9">
    <w:name w:val="xl8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0">
    <w:name w:val="xl9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2">
    <w:name w:val="xl9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3">
    <w:name w:val="xl9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5">
    <w:name w:val="xl9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7">
    <w:name w:val="xl9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9">
    <w:name w:val="xl9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0">
    <w:name w:val="xl10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01">
    <w:name w:val="xl10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3">
    <w:name w:val="xl10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4">
    <w:name w:val="xl10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5">
    <w:name w:val="xl10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6">
    <w:name w:val="xl10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7">
    <w:name w:val="xl10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08">
    <w:name w:val="xl10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0">
    <w:name w:val="xl11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1">
    <w:name w:val="xl11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2">
    <w:name w:val="xl11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3">
    <w:name w:val="xl11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14">
    <w:name w:val="xl11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5">
    <w:name w:val="xl11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6">
    <w:name w:val="xl11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7">
    <w:name w:val="xl11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18">
    <w:name w:val="xl11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19">
    <w:name w:val="xl11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0">
    <w:name w:val="xl12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1">
    <w:name w:val="xl12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3">
    <w:name w:val="xl12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4">
    <w:name w:val="xl12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5">
    <w:name w:val="xl12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7">
    <w:name w:val="xl12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28">
    <w:name w:val="xl12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29">
    <w:name w:val="xl12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0">
    <w:name w:val="xl13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1">
    <w:name w:val="xl13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3">
    <w:name w:val="xl13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4">
    <w:name w:val="xl13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5">
    <w:name w:val="xl13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6">
    <w:name w:val="xl13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37">
    <w:name w:val="xl13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38">
    <w:name w:val="xl13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9">
    <w:name w:val="xl13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0">
    <w:name w:val="xl14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3">
    <w:name w:val="xl14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44">
    <w:name w:val="xl14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5">
    <w:name w:val="xl14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6">
    <w:name w:val="xl14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47">
    <w:name w:val="xl14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48">
    <w:name w:val="xl14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0">
    <w:name w:val="xl15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1">
    <w:name w:val="xl15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52">
    <w:name w:val="xl15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3">
    <w:name w:val="xl15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4">
    <w:name w:val="xl15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55">
    <w:name w:val="xl15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6">
    <w:name w:val="xl15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7">
    <w:name w:val="xl15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8">
    <w:name w:val="xl15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59">
    <w:name w:val="xl15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0">
    <w:name w:val="xl16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1">
    <w:name w:val="xl16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2">
    <w:name w:val="xl162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4">
    <w:name w:val="xl164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5">
    <w:name w:val="xl16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6">
    <w:name w:val="xl166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67">
    <w:name w:val="xl167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8">
    <w:name w:val="xl16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69">
    <w:name w:val="xl16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170">
    <w:name w:val="xl170"/>
    <w:basedOn w:val="a"/>
    <w:rsid w:val="00681C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1">
    <w:name w:val="xl171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2">
    <w:name w:val="xl172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73">
    <w:name w:val="xl173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74">
    <w:name w:val="xl174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5">
    <w:name w:val="xl175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6">
    <w:name w:val="xl176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81C62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78">
    <w:name w:val="xl178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79">
    <w:name w:val="xl179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lang w:eastAsia="ru-RU"/>
    </w:rPr>
  </w:style>
  <w:style w:type="paragraph" w:customStyle="1" w:styleId="xl180">
    <w:name w:val="xl180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81">
    <w:name w:val="xl181"/>
    <w:basedOn w:val="a"/>
    <w:rsid w:val="00681C6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"/>
    <w:rsid w:val="00681C62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3">
    <w:name w:val="xl183"/>
    <w:basedOn w:val="a"/>
    <w:rsid w:val="00681C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4">
    <w:name w:val="xl184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681C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styleId="a7">
    <w:name w:val="Body Text"/>
    <w:basedOn w:val="a"/>
    <w:link w:val="a8"/>
    <w:rsid w:val="00681C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8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81C6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68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styleId="a9">
    <w:name w:val="header"/>
    <w:basedOn w:val="a"/>
    <w:link w:val="aa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81C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81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541F43714A7916DDA8EDE55EDA551DB86A4994541BB9D3ACDEDE415B763521DDF2B322455B1AFE0453CD757CD51E058B6D32AA2D509485b1S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13122</Words>
  <Characters>74796</Characters>
  <Application>Microsoft Office Word</Application>
  <DocSecurity>4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User</cp:lastModifiedBy>
  <cp:revision>2</cp:revision>
  <cp:lastPrinted>2018-11-13T05:49:00Z</cp:lastPrinted>
  <dcterms:created xsi:type="dcterms:W3CDTF">2019-04-08T03:32:00Z</dcterms:created>
  <dcterms:modified xsi:type="dcterms:W3CDTF">2019-04-08T03:32:00Z</dcterms:modified>
</cp:coreProperties>
</file>