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3E" w:rsidRPr="001C533E" w:rsidRDefault="001C533E" w:rsidP="001C533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C533E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1C533E" w:rsidRPr="001C533E" w:rsidRDefault="001C533E" w:rsidP="001C533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1C533E" w:rsidRPr="001C533E" w:rsidRDefault="001C533E" w:rsidP="001C533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1C533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1C533E" w:rsidRPr="001C533E" w:rsidRDefault="001C533E" w:rsidP="001C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.11.2021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571</w:t>
      </w:r>
      <w:r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>-р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</w:p>
    <w:p w:rsidR="00F51A34" w:rsidRDefault="001C533E" w:rsidP="001C5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C533E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1C533E" w:rsidRPr="001C533E" w:rsidRDefault="001C533E" w:rsidP="001C5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6D9C" w:rsidRDefault="00681C62" w:rsidP="00F51A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одобрении прогноза социально-экономического развития муниципального образования «П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ервомайский район» на 20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F413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B7F2F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FB1D8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</w:p>
    <w:p w:rsidR="001C533E" w:rsidRDefault="001C533E" w:rsidP="00F51A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533E" w:rsidRDefault="001C533E" w:rsidP="00F51A3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533E" w:rsidRDefault="001C533E" w:rsidP="001C5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1C62" w:rsidRPr="00681C62" w:rsidRDefault="00681C62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Администраци</w:t>
      </w:r>
      <w:r w:rsidR="005561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Первомайского района от 07 июля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2016</w:t>
      </w:r>
      <w:r w:rsidR="005561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151 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681C62" w:rsidRPr="00681C62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Одобрить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 социально-экономического развития муниципального образования «Первомайский </w:t>
      </w:r>
      <w:proofErr w:type="gramStart"/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район»  на</w:t>
      </w:r>
      <w:proofErr w:type="gramEnd"/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F413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1F41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0905F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</w:t>
      </w:r>
      <w:r w:rsidR="00CC5CE0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распоряжению.</w:t>
      </w:r>
    </w:p>
    <w:p w:rsidR="00681C62" w:rsidRPr="00681C62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Направить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одобренный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прогноз социально-экономического развития муниципального образования «Первомайский </w:t>
      </w:r>
      <w:proofErr w:type="gramStart"/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район»  на</w:t>
      </w:r>
      <w:proofErr w:type="gramEnd"/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F413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 w:rsidR="001F41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0905F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Думу Первомайского района.</w:t>
      </w:r>
    </w:p>
    <w:p w:rsidR="001C533E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азместить </w:t>
      </w:r>
      <w:r w:rsidR="008504B0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распоряжение</w:t>
      </w:r>
      <w:r w:rsidR="008504B0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на официальном сайте Администрации Первомайского района (</w:t>
      </w:r>
      <w:hyperlink r:id="rId5" w:history="1">
        <w:r w:rsidRPr="00D67B64">
          <w:rPr>
            <w:rStyle w:val="a5"/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681C62"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1C533E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533E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533E" w:rsidRDefault="001C533E" w:rsidP="001C53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C6445D" w:rsidP="001C53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1565B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Первомайского района                                                      </w:t>
      </w:r>
      <w:r w:rsidR="00C36D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1C53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DC2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Петроченко</w:t>
      </w: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51A34" w:rsidRDefault="00F51A34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C018C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6D9C" w:rsidRPr="00B24475" w:rsidRDefault="005C018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К.С. Павловская</w:t>
      </w:r>
    </w:p>
    <w:p w:rsidR="00CC5CE0" w:rsidRDefault="00DC290A" w:rsidP="005C018C">
      <w:pPr>
        <w:spacing w:after="0" w:line="240" w:lineRule="auto"/>
        <w:sectPr w:rsidR="00CC5CE0" w:rsidSect="001C53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8(38245)2 17 47</w:t>
      </w:r>
    </w:p>
    <w:tbl>
      <w:tblPr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2318"/>
      </w:tblGrid>
      <w:tr w:rsidR="00681C62" w:rsidRPr="00681C62" w:rsidTr="00FC3B21">
        <w:trPr>
          <w:trHeight w:val="312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3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B93" w:rsidRDefault="00655B93" w:rsidP="00F51A3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5C018C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</w:t>
            </w:r>
          </w:p>
          <w:p w:rsidR="00655B93" w:rsidRPr="00655B93" w:rsidRDefault="00655B93" w:rsidP="00F51A3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к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распоряжению </w:t>
            </w:r>
          </w:p>
          <w:p w:rsidR="00655B93" w:rsidRPr="00655B93" w:rsidRDefault="00655B93" w:rsidP="00F51A3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Администрации 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Первомайского </w:t>
            </w:r>
          </w:p>
          <w:p w:rsidR="00681C62" w:rsidRPr="00655B93" w:rsidRDefault="00655B93" w:rsidP="00F51A3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района </w:t>
            </w:r>
            <w:r w:rsidR="00F0037D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</w:t>
            </w:r>
            <w:r w:rsidR="00681C62" w:rsidRPr="00655B9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</w:t>
            </w:r>
            <w:r w:rsidR="001C53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01.11.2021</w:t>
            </w:r>
            <w:r w:rsidR="00F51A3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</w:t>
            </w:r>
            <w:r w:rsidR="001C533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571-ра</w:t>
            </w:r>
          </w:p>
          <w:p w:rsidR="00681C62" w:rsidRPr="00681C62" w:rsidRDefault="00681C62" w:rsidP="00F51A3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AF3B58" w:rsidRPr="00065803" w:rsidRDefault="00AF3B58" w:rsidP="00CC5C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60"/>
        <w:gridCol w:w="960"/>
        <w:gridCol w:w="960"/>
        <w:gridCol w:w="947"/>
        <w:gridCol w:w="851"/>
        <w:gridCol w:w="999"/>
        <w:gridCol w:w="971"/>
        <w:gridCol w:w="851"/>
        <w:gridCol w:w="978"/>
        <w:gridCol w:w="971"/>
        <w:gridCol w:w="851"/>
        <w:gridCol w:w="899"/>
      </w:tblGrid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 прогноза социально-экономического развития муниципального образования Первомайский район на 2022-2024 годы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вариант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вариант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Промышленное производство (BCDE)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959,3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108,8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B: 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122,1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B: 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отрузки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- 08 Добыча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110,3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- 08 Добыча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777,6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108,4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381,6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отрузки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- 10 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- 10 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</w:tr>
      <w:tr w:rsidR="00E3707E" w:rsidRPr="007A2CA5" w:rsidTr="007A2CA5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Индекс-дефлятор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отрузки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152,6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Сельское хозяйство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885,9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206,9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к предыдущему году в </w:t>
            </w: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Транспорт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359,8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конец года; км путей на 10000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кв.км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года;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</w:tr>
      <w:tr w:rsidR="00E3707E" w:rsidRPr="007A2CA5" w:rsidTr="007A2CA5">
        <w:trPr>
          <w:trHeight w:val="124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4. Производство важнейших видов продукции в натуральном выражении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картофеля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Валовой сбор овощей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млн.шт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Древесина необработанная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куб.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7A2CA5" w:rsidRPr="007A2CA5" w:rsidTr="007A2CA5">
        <w:trPr>
          <w:trHeight w:val="158"/>
        </w:trPr>
        <w:tc>
          <w:tcPr>
            <w:tcW w:w="1559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A5" w:rsidRPr="007A2CA5" w:rsidRDefault="007A2CA5" w:rsidP="007A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 Строительство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м. в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жилых домов, построенных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Инвестиции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554,2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406,1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650,0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688,5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695,4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710,4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730,0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772,5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799,7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779,0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834,5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883,1   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68,3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69,4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152,3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100,5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101,6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103,2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100,5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105,3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106,1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101,2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102,3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103,4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105,1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105,3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105,9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105,5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106,1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105,6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106,8   </w:t>
            </w:r>
          </w:p>
        </w:tc>
      </w:tr>
      <w:tr w:rsidR="00E3707E" w:rsidRPr="007A2CA5" w:rsidTr="007A2CA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511,2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317,4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502,5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371,0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531,2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537,5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367,9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574,4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594,8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316,3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627,2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667,6   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301,4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58,8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150,6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70,1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100,4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101,0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94,0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102,5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104,3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81,5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103,4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105,1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105,1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105,3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105,9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105,5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106,1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105,6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106,8   </w:t>
            </w:r>
          </w:p>
        </w:tc>
      </w:tr>
      <w:tr w:rsidR="00E3707E" w:rsidRPr="007A2CA5" w:rsidTr="007A2CA5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511,2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314,0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497,1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367,0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525,5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531,7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364,0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568,3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588,4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313,0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620,5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660,5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87,8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39,4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53,6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49,8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71,5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80,3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50,6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79,3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85,4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51,1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84,3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90,7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423,4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274,6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443,5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317,2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454,0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451,4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313,4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489,0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503,0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261,9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536,2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569,8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Кредиты банков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392,5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148,8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310,4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174,3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308,9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303,8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167,9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342,0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353,5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118,2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387,0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418,3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кредиты иностранных банков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30,9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125,8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133,1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142,9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145,1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147,6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145,5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147,0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149,5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143,7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149,2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151,5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6,3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82,2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84,0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90,1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91,2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92,4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91,3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92,1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93,5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90,3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93,2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94,4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16,8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37,4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42,0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45,3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46,3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47,6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46,7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47,3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48,3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48,5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49,5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6,2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7,1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7,6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7,6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7,6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7,7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6,5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7,5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7,6   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Торговля и услуги населению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1447,6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соответствующему периоду 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оборота розничной торговли по формам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1654,8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на розничных рынках и ярмарках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розничной торговли по торговым сетям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770,1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розничной торговли по торговым сетям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оборота розничной торговли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Структура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3707E" w:rsidRPr="007A2CA5" w:rsidTr="007A2CA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</w:tr>
      <w:tr w:rsidR="00E3707E" w:rsidRPr="007A2CA5" w:rsidTr="007A2CA5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145,7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Индекс-дефлятор объема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</w:tr>
      <w:tr w:rsidR="00E3707E" w:rsidRPr="007A2CA5" w:rsidTr="007A2CA5">
        <w:trPr>
          <w:trHeight w:val="270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7. Малое и среднее предпринимательство, включая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малых и средних предприятий, включая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399,0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405,0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407,0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410,0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412,0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411,0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413,0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407,0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412,0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414,0   </w:t>
            </w:r>
          </w:p>
        </w:tc>
      </w:tr>
      <w:tr w:rsidR="00E3707E" w:rsidRPr="007A2CA5" w:rsidTr="007A2CA5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2,0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1,8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1,9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2,0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1,9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2,0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2,0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2,1   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млрд. 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1,6 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1,6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1,7   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 Финансы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прибыльных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Сальдированный финансовый результат (прибыль минус убыток)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-25,4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-23,8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-1,6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 Население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E3707E" w:rsidRPr="007A2CA5" w:rsidTr="007A2CA5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</w:tr>
      <w:tr w:rsidR="00E3707E" w:rsidRPr="007A2CA5" w:rsidTr="007A2CA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 (убыль)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3707E" w:rsidRPr="007A2CA5" w:rsidTr="007A2CA5">
        <w:trPr>
          <w:trHeight w:val="255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707E" w:rsidRPr="007A2CA5" w:rsidRDefault="00E3707E" w:rsidP="00E3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2C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 Труд и занятость</w:t>
            </w:r>
          </w:p>
        </w:tc>
      </w:tr>
      <w:tr w:rsidR="00053F8C" w:rsidRPr="007A2CA5" w:rsidTr="009B6471">
        <w:trPr>
          <w:trHeight w:val="5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30 524,3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32 691,7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34 326,3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35 802,3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36 248,6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36 729,1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37 592,4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38 604,7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39 300,2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39 472,1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41 114,0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42 051,2</w:t>
            </w:r>
          </w:p>
        </w:tc>
      </w:tr>
      <w:tr w:rsidR="00053F8C" w:rsidRPr="007A2CA5" w:rsidTr="009B6471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</w:tr>
      <w:tr w:rsidR="00053F8C" w:rsidRPr="007A2CA5" w:rsidTr="001A4094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053F8C" w:rsidRPr="007A2CA5" w:rsidTr="001A4094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53F8C" w:rsidRPr="007A2CA5" w:rsidTr="001A409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 xml:space="preserve">млн.руб.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1 201,1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1 314,8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1 380,5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1 439,9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1 457,9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1 477,2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1 511,9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1 552,6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1 580,6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1 587,5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1 653,5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1 691,2</w:t>
            </w:r>
          </w:p>
        </w:tc>
      </w:tr>
      <w:tr w:rsidR="00053F8C" w:rsidRPr="007A2CA5" w:rsidTr="001A4094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8C" w:rsidRPr="00053F8C" w:rsidRDefault="00053F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F8C" w:rsidRPr="00053F8C" w:rsidRDefault="00053F8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53F8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</w:tr>
    </w:tbl>
    <w:p w:rsidR="00FC3B21" w:rsidRDefault="00FC3B21" w:rsidP="00CC5C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C3B21" w:rsidRDefault="00FC3B21" w:rsidP="00CC5C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FC3B21" w:rsidSect="005C018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A2CA5" w:rsidRPr="00053F8C" w:rsidRDefault="007A2CA5" w:rsidP="007A2CA5">
      <w:pPr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A2CA5" w:rsidRPr="00053F8C" w:rsidRDefault="007A2CA5" w:rsidP="007A2CA5">
      <w:pPr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t>к прогнозу социально-экономического развития</w:t>
      </w:r>
    </w:p>
    <w:p w:rsidR="007A2CA5" w:rsidRPr="00053F8C" w:rsidRDefault="007A2CA5" w:rsidP="007A2CA5">
      <w:pPr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t>муниципального образования Первомайский район</w:t>
      </w:r>
    </w:p>
    <w:p w:rsidR="007A2CA5" w:rsidRPr="00053F8C" w:rsidRDefault="007A2CA5" w:rsidP="007A2CA5">
      <w:pPr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t>на 2022-2024 годы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Первомайского района на среднесрочный период 2020-2024 годов разработан в соответствии с действующей нормативной правовой базой: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Федеральным законом от 28 июня 2014 года № 172-ФЗ «О стратегическом планировании в Российской Федерации»;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Законом Томской области от 12 марта 2015 года № 24-03 «О стратегическом планировании в Томской области»;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05.05.2016 № 155а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«Об утверждении Порядка разработки прогноза социально-экономического развития Томской области на среднесрочный период»;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Постановлением Администрации Первомайского района от 07.07.2016 № 151 «Об утверждении Порядка разработки прогноза социально-экономического развития муниципального образования «Первомайский район» на среднесрочный период».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2CA5">
        <w:rPr>
          <w:rFonts w:ascii="Times New Roman" w:hAnsi="Times New Roman" w:cs="Times New Roman"/>
          <w:b/>
          <w:sz w:val="24"/>
          <w:szCs w:val="24"/>
        </w:rPr>
        <w:t>I. Базовый период (2019 – 2021 годы)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B06D96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6D96">
        <w:rPr>
          <w:rFonts w:ascii="Times New Roman" w:hAnsi="Times New Roman" w:cs="Times New Roman"/>
          <w:b/>
          <w:sz w:val="24"/>
          <w:szCs w:val="24"/>
        </w:rPr>
        <w:t>Общая оценка социально-экономической ситуации в районе.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Оценка исполнения прогноза социально-экономического развития Первомайского района на 2020 год.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По данным 2020 года в реальном секторе экономики района осуществляют хозяйственную деятельность 180 </w:t>
      </w:r>
      <w:r>
        <w:rPr>
          <w:rFonts w:ascii="Times New Roman" w:hAnsi="Times New Roman" w:cs="Times New Roman"/>
          <w:sz w:val="24"/>
          <w:szCs w:val="24"/>
        </w:rPr>
        <w:t>юридических лиц</w:t>
      </w:r>
      <w:r w:rsidRPr="007A2CA5">
        <w:rPr>
          <w:rFonts w:ascii="Times New Roman" w:hAnsi="Times New Roman" w:cs="Times New Roman"/>
          <w:sz w:val="24"/>
          <w:szCs w:val="24"/>
        </w:rPr>
        <w:t>, 293 индивидуальных предпринимателей.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Экономика Первомайского района основывается на лесной промышленности и сельском хозяйстве.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 результатам анализа социально-экономического развития Первомайского района за 2020 год наблюдаются положительные изменения в сравнении с 2019 годом по следующим показателям: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общий объем отгруженной продукции собственного производства, выполненных работ и услуг собственными силами по «чистым» видам экономической деятельности по крупным и средним организациям за январь-декабрь 2020 года крупными и средними предприятиями по данным статистики составил 1801,3 млн.руб. (темп роста составил 135,8%).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- объем отгруженных товаров собственного производства, выполненных работ и услуг собственными силами по «чистым видам» деятельности по кругу крупных и средних организаций (итого по разделам C,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D,E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) составил 120,5 млн.руб. с темпов роста 156,9% у уровню 2019 года;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произведено молока 283,2 кг на душу населения района – темп роста составил 128,5% к уровню 2019 года;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оборот розничной торговли (без субъектов малого предпринимательства) составил 447374,2 тыс.руб. (рост 118%);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(без внешних совместителей) крупных и средних предприятий по «чистым» видам экономической деятельности в ноябре 2020 года составлял 2458 чел. – это на 1,3% к соответствующему месяцу предыдущего года.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Негативные изменения наблюдаются по таким показателям как: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- число малых и средних предприятий, включая 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 xml:space="preserve"> сократился на 4 ед. и составил 405 ед.;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lastRenderedPageBreak/>
        <w:t>- сальдированный финансовый результат деятельности организаций по итогам 2020 года составил -46316 тыс.руб.;</w:t>
      </w:r>
    </w:p>
    <w:p w:rsid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- численность населения сократилась на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91  чел.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, в том числе естественная убыль -84 чел., миграционное снижение -7 чел.</w:t>
      </w:r>
    </w:p>
    <w:p w:rsidR="00B06D96" w:rsidRDefault="00B06D96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D96" w:rsidRPr="00B06D96" w:rsidRDefault="00B06D96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6D96">
        <w:rPr>
          <w:rFonts w:ascii="Times New Roman" w:hAnsi="Times New Roman" w:cs="Times New Roman"/>
          <w:b/>
          <w:sz w:val="24"/>
          <w:szCs w:val="24"/>
        </w:rPr>
        <w:t>Сравнение показателей прогноза на 2021-2023 годы с прогнозом на 2022-2024 годы</w:t>
      </w:r>
    </w:p>
    <w:p w:rsidR="000E6DBD" w:rsidRDefault="00B06D96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отклонение фактических результатов социально-экономического развития Первомайского района от прогнозируемых наблюдается</w:t>
      </w:r>
      <w:r w:rsidR="000E6DBD">
        <w:rPr>
          <w:rFonts w:ascii="Times New Roman" w:hAnsi="Times New Roman" w:cs="Times New Roman"/>
          <w:sz w:val="24"/>
          <w:szCs w:val="24"/>
        </w:rPr>
        <w:t>:</w:t>
      </w:r>
    </w:p>
    <w:p w:rsidR="000E6DBD" w:rsidRDefault="000E6DBD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6D96">
        <w:rPr>
          <w:rFonts w:ascii="Times New Roman" w:hAnsi="Times New Roman" w:cs="Times New Roman"/>
          <w:sz w:val="24"/>
          <w:szCs w:val="24"/>
        </w:rPr>
        <w:t xml:space="preserve"> в строке «</w:t>
      </w:r>
      <w:r w:rsidR="00B06D96" w:rsidRPr="00B06D96">
        <w:rPr>
          <w:rFonts w:ascii="Times New Roman" w:hAnsi="Times New Roman" w:cs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</w:r>
      <w:r w:rsidR="00B06D96">
        <w:rPr>
          <w:rFonts w:ascii="Times New Roman" w:hAnsi="Times New Roman" w:cs="Times New Roman"/>
          <w:sz w:val="24"/>
          <w:szCs w:val="24"/>
        </w:rPr>
        <w:t>» подраздела «Обрабатывающие производства»</w:t>
      </w:r>
      <w:r>
        <w:rPr>
          <w:rFonts w:ascii="Times New Roman" w:hAnsi="Times New Roman" w:cs="Times New Roman"/>
          <w:sz w:val="24"/>
          <w:szCs w:val="24"/>
        </w:rPr>
        <w:t>, раздела «Промышленное производство (</w:t>
      </w:r>
      <w:r>
        <w:rPr>
          <w:rFonts w:ascii="Times New Roman" w:hAnsi="Times New Roman" w:cs="Times New Roman"/>
          <w:sz w:val="24"/>
          <w:szCs w:val="24"/>
          <w:lang w:val="en-US"/>
        </w:rPr>
        <w:t>BCDE</w:t>
      </w:r>
      <w:r w:rsidRPr="000E6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». Отклонение составило +33% от плана, такой темп роста связан с ростом цен на пиломатериалы;</w:t>
      </w:r>
    </w:p>
    <w:p w:rsidR="000743CD" w:rsidRDefault="000E6DBD" w:rsidP="000743CD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строке «Ввод в действие жилых домов» перевыполнение плана составило 22,2%. Соответственно показатель «Объем работ, выполненных по виду экономической деятельности «Строительство» (Раздел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E6D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также увеличился, отклонение от плановых показателей на 2020 год составило +46%. Рост данного показателя связан с увеличением строительства индивидуальных жилых домов, так в 2020 году был построен и введен в эксплуатацию бюджетн</w:t>
      </w:r>
      <w:r w:rsidR="000743CD">
        <w:rPr>
          <w:rFonts w:ascii="Times New Roman" w:hAnsi="Times New Roman" w:cs="Times New Roman"/>
          <w:sz w:val="24"/>
          <w:szCs w:val="24"/>
        </w:rPr>
        <w:t>ый дом для специалистов-медиков.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B06D96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6D96">
        <w:rPr>
          <w:rFonts w:ascii="Times New Roman" w:hAnsi="Times New Roman" w:cs="Times New Roman"/>
          <w:b/>
          <w:sz w:val="24"/>
          <w:szCs w:val="24"/>
        </w:rPr>
        <w:t>Промышленное производство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На территории Первомайского района осуществляют деятельность два крупных лесозаготовительных предприятия – ООО «Чулымлес» и ООО «Чичкаюльский ЛПХ».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Предприятиями лесопромышленного комплекса за 12 месяцев 2020 года заготовлено 1231,2 тыс.куб.м. древесины, рост составил 102,4%.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2020 году объем отгруженных товаров обрабатывающих производств по данным статистики вырос на 85,8% по сравнению с 2019 годом, основной рост наблюдается по виду деятельности «обработка древесины и производство изделий из дерева и пробки» (темп роста 188,2%).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конце 2019 года в с. Комсомольск открылись лесоперерабатывающие предприятия ООО «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Модон-Эксп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>» и ООО «Комсомольск».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 итогам 2020 года достигнуты следующие результаты деятельности в сельском хозяйстве: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произведено мяса 2523 тонны (рост к уровню прошлого года 104,9%);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произведено молока 4654 тонны (рост к уровню прошлого года 141,2%)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наличие КРС на предприятиях 5739 голов (рост к уровню прошлого года 113,8%)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наличие свиней на предприятиях 9232 головы (рост к уровню прошлого года 110%)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2020 году в Первомайском районе число сельскохозяйственных организаций, имеющих посев, осталось на прежнем уровне п</w:t>
      </w:r>
      <w:r w:rsidR="000743CD">
        <w:rPr>
          <w:rFonts w:ascii="Times New Roman" w:hAnsi="Times New Roman" w:cs="Times New Roman"/>
          <w:sz w:val="24"/>
          <w:szCs w:val="24"/>
        </w:rPr>
        <w:t>о</w:t>
      </w:r>
      <w:r w:rsidRPr="007A2CA5">
        <w:rPr>
          <w:rFonts w:ascii="Times New Roman" w:hAnsi="Times New Roman" w:cs="Times New Roman"/>
          <w:sz w:val="24"/>
          <w:szCs w:val="24"/>
        </w:rPr>
        <w:t xml:space="preserve"> сравнению с 2019 годом, число КФХ и ИП, имеющих посев, увеличилось на 8% по сравнению с аналогичным периодом 2019 года.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Посевные площади в хозяйствах всех категорий в 2020 году уменьшились по сравнению с 2019 годом на 3,3% посевные площади пшеницы в хозяйствах всех категорий также уменьшились на 19,2%.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Количество личных подсобных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хозяйств  на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 xml:space="preserve"> 01.01.2021 год составило 7318. В личных хозяйствах населения поголовье КРС составляет 2102 головы, в т.ч. 902 коровы. Удельный вес коров в хозяйствах населения составляет 42,9 % от общего поголовья КРС.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lastRenderedPageBreak/>
        <w:t xml:space="preserve">В 2020 году началась модернизация и техническое переоснащение производства животноводческой фермы в д.Туендат, в 2021 году уже введен в эксплуатацию коровник на 200 голов КРС.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2021 году планируется увеличение производства продукции сельского хозяйства до 579,9 млн.руб.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 составляет 359,8 км и в 2020 году не изменится.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настоящее время в Первомайском районе действует 3 муниципальных маршрута «Первомайское – Улу-Юл», «Первомайское – Малиновка» и «Первомайское – Орехово», услуги по перевозке оказывает ООО «Асиновское АТП».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целом по району за январь-декабрь 2020 г. введено в действие 33 квартиры.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Общая площадь жилых домов, введенных в действие в 2020 году составляет 3026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, из них 2880 кв.м.  индивидуальное строительство.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Темп роста объема работ, выполненных по виду деятельности «Строительство» в 2020 году составил 154,9% к уровню 2019 года.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2020 году в с. Первомайском построен бюджетный дом для медицинских работников.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ООО «Агро» ведет строительство цеха осеменения/ожидания.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текущем 2021 году сдано в эксплуатацию здание фермы в д. Туендат предприятием ООО КХ Куендат.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Инвестиции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Объем инвестиций в основной капитал по полному кругу предприятий за 2020 год составил 406,1 млн. рублей (рост 73,2%). По данным статистики объем инвестиций в основной капитал организаций (без субъектов малого и среднего предпринимательства) составил 314058 тыс.руб.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структуре инвестиций в основной капитал по источникам финансирования преобладает доля привлеченных средств.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2020 году начинающие фермеры получили поддержку в сумме 14 млн.руб. – это: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- ГКФХ Кибисова Наталья Александровна, получила грант 5 млн.руб. на разведение КРС молочного направления в с. Сергеево. Общая стоимость проекта составляет 5,6 млн.руб. Наталья планирует производить 385 тонн молока в год к 2024 году.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ГКФХ Попов Михаил Васильевич получил грант 5 млн.руб. на развитие фермы мясного направления. В этом году он уже приобрел фронтальный погрузчик для заготовки кормов. В планах приобретение 40 нетелей породы герефорд;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готовится к запуску цех по переработке молока в с. Сергеево – проект реализует кооператив «Крестьянский»;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кооператив «Век» в с. Новомариинка в этом году удостоен золотой медали на всероссийской агропромышленной выставке «Золотая осень - 2020» в номинации «Лучшая семейная животноводческая ферма» за высокие показатели в производстве и переработке продукции животноводства.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текущем году ожидается реализация не менее 30 проектов в рамках проекта по сокращению уровня бедности путем заключения социального контракта на развитие собственного дела на общую сумму 7500 тыс.руб. Контракты заключаются в Центре социальной защиты населения. В 2020 году такую поддержку получили 50 предпринимателей.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lastRenderedPageBreak/>
        <w:t>Поддержку стартующего бизнеса в этом году получат не менее 2 предпринимателей, сумма проектов составит не менее 1200 тыс.руб., в 2020 году поддержку получили 3 предпринимателя на общую сумму 1000 тыс.руб.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2020 году на развитие промышленного рыболовства 2 предпринимателя получили субсидии на приобретение орудий лова, лодочным моторов и маломерных судов на сумму 800 тыс.руб.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Торговля и услуги населению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Первомайском районе действует более 180 магазинов, где трудятся более 610 человек.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Оборот розничной торговли в районе растет, и в 2020 году составил 1204,9 млн.руб., (по крупным и средним предприятиям (по данным статистики) составил 447374,2 тыс. рублей., индекс физического объема к январю-декабрю 2019 года составил 118%).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2021 году продолжится рост оборота розничной торговли, рост составит 103,4% к уровню 2020 года.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Оборот общественного питания по итогам 2020 года снизился на 34,9% и составил 5,2 млн.руб., снижение обусловлено приостановлением деятельности предприятий общественного питания в связи с 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антиковидными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 xml:space="preserve"> мерами.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текущем году прогнозируется увеличение уровня оборота общественного питания до уровня 2019 года с темпом роста 145,2%.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 xml:space="preserve">Малое и среднее предпринимательство, включая </w:t>
      </w:r>
      <w:proofErr w:type="spellStart"/>
      <w:r w:rsidRPr="000743CD">
        <w:rPr>
          <w:rFonts w:ascii="Times New Roman" w:hAnsi="Times New Roman" w:cs="Times New Roman"/>
          <w:b/>
          <w:sz w:val="24"/>
          <w:szCs w:val="24"/>
        </w:rPr>
        <w:t>микропредприятия</w:t>
      </w:r>
      <w:proofErr w:type="spellEnd"/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 данным 2020 года на территории района действует 405 субъектов малого и среднего предпринимательства, в том числе 293 индивидуальных предприниматель.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настоящее время в сфере малого и среднего бизнеса на территории района занято 1960 человек.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Малый бизнес в основном развивается в сельском и лесном хозяйстве, в сфере торговли и общественного питания, в сфере услуг (бытовые услуги, транспортные услуги и др.) и в промышленном секторе (пищевая промышленность, деревообработка, прочие производства).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2020 году наблюдается отрицательная динамика по количеству индивидуальных предпринимателей – 5 ед., однако количество СМП ЮЛ увеличилось на 4 ед.</w:t>
      </w:r>
    </w:p>
    <w:p w:rsid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2021 году ожидается увеличение количества субъектов малого и среднего предпринимательства. Предпринимательскую деятельность стимулирует муниципальная программа «Развитие малого и среднего предпринимательства в Первомайском районе на 2021-2023 годы», в которую включено мероприятие «Поддержка стартующего бизнеса».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текущем году Первомайский район продолжает участие в проекте по снижению уровня бедности. В рамках данного проекта малоимущие граждане могут заключить социальный контракт на развитие бизнеса, условием которого является обязательная регистрация в качестве предпринимателя. В 2020 году государственную социальную помощь получили 50 предпринимателей.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К концу 2021 года число субъектов малого и среднего предпринимательства составит 407 ед., численность работни</w:t>
      </w:r>
      <w:r w:rsidR="000743CD">
        <w:rPr>
          <w:rFonts w:ascii="Times New Roman" w:hAnsi="Times New Roman" w:cs="Times New Roman"/>
          <w:sz w:val="24"/>
          <w:szCs w:val="24"/>
        </w:rPr>
        <w:t>ков составит 1,8</w:t>
      </w:r>
      <w:r w:rsidRPr="007A2CA5">
        <w:rPr>
          <w:rFonts w:ascii="Times New Roman" w:hAnsi="Times New Roman" w:cs="Times New Roman"/>
          <w:sz w:val="24"/>
          <w:szCs w:val="24"/>
        </w:rPr>
        <w:t xml:space="preserve"> тыс.чел.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Финансы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Прибыль прибыльных организаций в 2019 году составила 53,4 млн.р.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За январь-ноябрь 2020 года сальдированный финансовый результат (прибыль минус убыток) организаций составил -31,6 млн.руб. рублей убытков.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Доля убыточных предприятий составила 50%.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 xml:space="preserve">Отрицательный результат сложился по разделу А видов экономической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деятельности  «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lastRenderedPageBreak/>
        <w:tab/>
        <w:t>На 1 декабря 2020 года суммарная задолженность по обязательствам составила 1395987 тыс.руб., удельный вес просроченной задолженности в общем объеме задолженности составил 0,1%.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>На 01.01.2020 кредиторская задолженность составила 759858 тыс.руб., дебиторская задолженность – 169323 тыс.руб., кредиторская задолженность превышает дебиторскую на 590535 тыс.руб.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 xml:space="preserve">В 2021 году рост прибыль прибыльных организаций по сравнению с 2020 годом увеличится и составит 55,1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млн.руб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 xml:space="preserve">, убытки уменьшатся. Таким образом сальдированный финансовый результат составит -25,4 млн.руб.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Демографическая ситуация в 2020 году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2020 году по отношению к 2019 году рождаемость снизилась на 14,1% (-30 человек), смертность увеличилась на 7,7% (умерло на 19 человек больше, чем в 2019 году). Естественная убыль населения составила -49 человек.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По итогам 2020 года по сравнению с аналогичным периодом 2019 года наблюдается миграционная убыль, которая составила -19 человек (прибыло 417 человек, убыло 436 человек).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2021 году численность населения продолжит снижаться и составит 16,3 тыс. человек.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743CD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43CD">
        <w:rPr>
          <w:rFonts w:ascii="Times New Roman" w:hAnsi="Times New Roman" w:cs="Times New Roman"/>
          <w:b/>
          <w:sz w:val="24"/>
          <w:szCs w:val="24"/>
        </w:rPr>
        <w:t>Труд и занятость населения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Ситуация на рынке труда по итогам 2020 года оценивалась как нестабильная.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Средняя начисленная заработная плата в расчете на 1 работника в 2020 году в крупных и средних предприятиях и организациях составила 32691,7 рублей и в сравнении с 2019 годом увеличилась на 7,1%.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К концу декабря 2020 года в органах государственной службы занятости состояло на учёте 609 человек не занятых трудовой деятельностью. Из них 590 человек имели статус безработного. Уровень регистрируемой безработицы составил 5,78 % от экономически активного населения. Такой рост безработицы связан со сложной экономической ситуацией по причине распространения новой коронавирусной инфекции.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2021 году в районе разработан комплекс мероприятий (план) восстановления (до уровня 2019 года) численности занятого населения к IV кварталу 2021 года, благодаря которому численность занятого населения в районе увеличится на 950 человек и составит не менее 10164 чел., численность безработных составит не более 236 чел.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2020 году наблюдался рост заработной платы работников во всех сферах деятельности. Рост заработной платы работников коммерческих предприятий обеспечивался за счет роста производительности труда, повышению минимального размера оплаты труда, а также реализации социальной политики предприятий, принятия обязательств, предусмотренных коллективными договорами и соглашениями.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Рост средней заработной платы работников бюджетных учреждений в 2019 году обеспечивался реализацией государственной социальной политики в рамках Указа Президента РФ от 07.05.2012 № 597 «О мероприятиях по реализации государственной социальной политики», а также ежегодной индексацией на уровень прогнозируемой инфляции и продолжится в прогнозируемом периоде. Рост средней заработной платы в 2021 году ожидается на уровне 105% и составит </w:t>
      </w:r>
      <w:r w:rsidR="000743CD">
        <w:rPr>
          <w:rFonts w:ascii="Times New Roman" w:hAnsi="Times New Roman" w:cs="Times New Roman"/>
          <w:sz w:val="24"/>
          <w:szCs w:val="24"/>
        </w:rPr>
        <w:t>34326,3</w:t>
      </w:r>
      <w:r w:rsidRPr="007A2CA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Расчет фонда платы труда работников организаций (далее – ФОТ) произведен с учетом фактически сложившихся данных о размере ФОТ по данным статистики, планируемых изменений в отраслях, представленных на территории муниципального образования </w:t>
      </w:r>
      <w:r w:rsidRPr="007A2CA5">
        <w:rPr>
          <w:rFonts w:ascii="Times New Roman" w:hAnsi="Times New Roman" w:cs="Times New Roman"/>
          <w:sz w:val="24"/>
          <w:szCs w:val="24"/>
        </w:rPr>
        <w:lastRenderedPageBreak/>
        <w:t>Первомайский район, бюджетной сфере и ожидаемых инвестиционных проектов, а также с учетом поступления налога на доходы физических лиц.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ФОТ в 2020 году составил 1314,8 млн.руб., темп роста по сравнению с 2019 годом составил 109,5%.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ФОТ в 2021 году ожидается в размере 13</w:t>
      </w:r>
      <w:r w:rsidR="00053F8C">
        <w:rPr>
          <w:rFonts w:ascii="Times New Roman" w:hAnsi="Times New Roman" w:cs="Times New Roman"/>
          <w:sz w:val="24"/>
          <w:szCs w:val="24"/>
        </w:rPr>
        <w:t>80</w:t>
      </w:r>
      <w:r w:rsidRPr="007A2CA5">
        <w:rPr>
          <w:rFonts w:ascii="Times New Roman" w:hAnsi="Times New Roman" w:cs="Times New Roman"/>
          <w:sz w:val="24"/>
          <w:szCs w:val="24"/>
        </w:rPr>
        <w:t>,</w:t>
      </w:r>
      <w:r w:rsidR="00053F8C">
        <w:rPr>
          <w:rFonts w:ascii="Times New Roman" w:hAnsi="Times New Roman" w:cs="Times New Roman"/>
          <w:sz w:val="24"/>
          <w:szCs w:val="24"/>
        </w:rPr>
        <w:t>5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Темп роста составит 10</w:t>
      </w:r>
      <w:r w:rsidR="00053F8C">
        <w:rPr>
          <w:rFonts w:ascii="Times New Roman" w:hAnsi="Times New Roman" w:cs="Times New Roman"/>
          <w:sz w:val="24"/>
          <w:szCs w:val="24"/>
        </w:rPr>
        <w:t>5</w:t>
      </w:r>
      <w:r w:rsidRPr="007A2CA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53F8C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t>II. Прогнозный период (2021-2023 годы)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53F8C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t>Общая прогнозная оценка социально-экономической ситуации в районе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Прогнозе заложены параметры тарифной политики,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 уровнем прогнозной инфляции.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Наряду с факторами внешних ограничений, на социально-экономическое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развитие Первомайского района оказывают влияние и внутренние ограничения. Основными факторами, ограничивающими деятельность предприятий и организаций базовых отраслей экономики, являются: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– недостаточный спрос на продукцию (услуги);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– неопределенность экономической ситуации;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– финансовые ограничения, в том числе высокие процентные ставки по кредитам, высокие транспортные расходы, высокая арендная плата, высокая стоимость материалов, конструкций и изделий.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Внутренняя социально-экономическая политика в среднесрочной перспективе будет направлена на достижение национальных целей развития и выполнения других приоритетных задач, поставленных в майском Указе Президента Российской Федерации.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среднесрочной перспективе деятельность муниципального образования Первомайский район будет направлена на достижение целей Стратегии развития Первомайского района до 2030 года.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Основным механизмом реализации данных целей будет выполнение мероприятий муниципальных программ.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Прогноз разработан в составе трех основных сценариев развития: консервативного, базового и целевого.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Консервативный сценарий (вариант 1) характеризуется умеренными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темпами роста экономики на основе модернизации ведущих секторов экономики при сохранении структурных барьеров в развитии человеческого капитала, транспортной инфраструктуры.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Базовый сценарий (вариант 2) характеризуется дополнительными импульсами инновационного развития и усилением инвестиционной направленности экономического роста. Возрастает роль конкурентоспособного сектора высокотехнологичных производств и экономики знаний.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Целевой сценарий (вариант 3) характеризуется форсированными темпами роста экономики региона, повышенной инвестиционной активностью, достижением целевых показателей национальных проектов.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Базовый вариант Прогноза принимается за основу при расчете доходов бюджета Первомайского района.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целом в среднесрочной перспективе на 2022–2024 годы прогнозируется позитивная динамика социально-экономического развития Первомайского района.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053F8C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3F8C">
        <w:rPr>
          <w:rFonts w:ascii="Times New Roman" w:hAnsi="Times New Roman" w:cs="Times New Roman"/>
          <w:b/>
          <w:sz w:val="24"/>
          <w:szCs w:val="24"/>
        </w:rPr>
        <w:t>Промышленное производство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Обороты производства крупных лесопромышленных предприятий Первомайского района ООО «Чулымлес» и ООО «Чичкаюльский ЛПХ» в прогнозном периоде увеличатся за счет реализации новых проектов в сфере лесной промышленности: ООО «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Модон-Эксп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 xml:space="preserve">», ООО </w:t>
      </w:r>
      <w:r w:rsidRPr="007A2CA5">
        <w:rPr>
          <w:rFonts w:ascii="Times New Roman" w:hAnsi="Times New Roman" w:cs="Times New Roman"/>
          <w:sz w:val="24"/>
          <w:szCs w:val="24"/>
        </w:rPr>
        <w:lastRenderedPageBreak/>
        <w:t>«Комсомольск» в с. Комсомольск, ООО «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Визант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 xml:space="preserve">» и ООО «А-лес» в п. Улу-Юл планируют расширение производства и увеличение численности рабочих мест до 2024 года.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Объем отгруженных товаров собственного производства составит: по консервативному варианту от </w:t>
      </w:r>
      <w:r w:rsidR="00053F8C">
        <w:rPr>
          <w:rFonts w:ascii="Times New Roman" w:hAnsi="Times New Roman" w:cs="Times New Roman"/>
          <w:sz w:val="24"/>
          <w:szCs w:val="24"/>
        </w:rPr>
        <w:t>719,4</w:t>
      </w:r>
      <w:r w:rsidRPr="007A2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млн.руб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 xml:space="preserve"> в 2022 году до </w:t>
      </w:r>
      <w:r w:rsidR="00053F8C">
        <w:rPr>
          <w:rFonts w:ascii="Times New Roman" w:hAnsi="Times New Roman" w:cs="Times New Roman"/>
          <w:sz w:val="24"/>
          <w:szCs w:val="24"/>
        </w:rPr>
        <w:t>794,6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2024 году; по базовому от </w:t>
      </w:r>
      <w:r w:rsidR="00053F8C">
        <w:rPr>
          <w:rFonts w:ascii="Times New Roman" w:hAnsi="Times New Roman" w:cs="Times New Roman"/>
          <w:sz w:val="24"/>
          <w:szCs w:val="24"/>
        </w:rPr>
        <w:t>740,9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2022 году до </w:t>
      </w:r>
      <w:r w:rsidR="00053F8C">
        <w:rPr>
          <w:rFonts w:ascii="Times New Roman" w:hAnsi="Times New Roman" w:cs="Times New Roman"/>
          <w:sz w:val="24"/>
          <w:szCs w:val="24"/>
        </w:rPr>
        <w:t>871,7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2024 году, по целевому варианту от </w:t>
      </w:r>
      <w:r w:rsidR="00053F8C">
        <w:rPr>
          <w:rFonts w:ascii="Times New Roman" w:hAnsi="Times New Roman" w:cs="Times New Roman"/>
          <w:sz w:val="24"/>
          <w:szCs w:val="24"/>
        </w:rPr>
        <w:t>761,6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2022 году до </w:t>
      </w:r>
      <w:r w:rsidR="00053F8C">
        <w:rPr>
          <w:rFonts w:ascii="Times New Roman" w:hAnsi="Times New Roman" w:cs="Times New Roman"/>
          <w:sz w:val="24"/>
          <w:szCs w:val="24"/>
        </w:rPr>
        <w:t>959,3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2024 году.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По разделу обрабатывающие производства составит: по консервативному варианту от 581,1 млн.р. в 2022 году до 638,2 млн.руб. в 2024 году; по базовому от 601,2 млн.руб. в 2022 году до 706,9 млн.руб. в 2024 году, по целевому варианту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от  618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,0 млн.руб. в 2021 году до 777,6 млн.руб. в 2024 году.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районе успешно реализуют свои инвестиционные проекты такие инвесторы как: ООО «АПК Первомайский», ООО «Березовская ферма», ООО «Агро», СПОК «Держава», ООО КХ «Куендат».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районе продолжится создание условий для эффективного развития сельского хозяйства, повышение конкурентоспособности отрасли.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Основными приоритеты: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1. стимулирование инвестиционной активности 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>. Посредством поддержки инвестиционных проектов за счет областных конкурсов,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2.  развитие сектора личных подсобных хозяйств.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(фермерских) хозяйств.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планах развития сельского хозяйства в районе: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модернизация и техническое переоснащение производства животноводческой фермы в д.Туендат. В 2021 году уже введен в эксплуатацию коровник на 200 голов КРС;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строительство цеха по убою скота на 10 голов в смену кооперативом «Век» с.Новомариинка.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- завершение строительства цеха по переработке молока и производству молочной продукции кооперативом «Крестьянский» до 5 тысяч литров в сутки в с.Сергеево.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2022-2024 годах – прогнозируется постепенный рост производства сельскохозяйственной продукции на предприятиях: по консервативному варианту от 620,3 млн.руб. до 717,0 млн.руб., по базовому варианту прогноза от 648,1 млн.руб. до 805,9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млн.руб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 xml:space="preserve"> и по целевому от 665,9 млн.руб. до 885,9 млн.руб. соответственно.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 составляет 359,8 км, строительство новых дорог не планируется.</w:t>
      </w:r>
    </w:p>
    <w:p w:rsid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Продолжится действие 3 муниципальных маршрутов «Первомайское – Улу-Юл», «Первомайское – Малиновка» и «Первомайское – Орехово».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прогнозном периоде планируется увеличение объемов работ по строительству индивидуальных жилых домов.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Планируется ежегодно вводить в действие жилых домов не менее 2 тыс.кв.м.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Участие в существующих и новых жилищных программах по обеспечению доступным и комфортным жильем граждан продолжится. В 2021 году начнется строительство 5 жилых </w:t>
      </w:r>
      <w:r w:rsidRPr="007A2CA5">
        <w:rPr>
          <w:rFonts w:ascii="Times New Roman" w:hAnsi="Times New Roman" w:cs="Times New Roman"/>
          <w:sz w:val="24"/>
          <w:szCs w:val="24"/>
        </w:rPr>
        <w:lastRenderedPageBreak/>
        <w:t>домов по договору найма жилого помещения, в последующие годы будет построено еще 30 домов.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Объем работ выполненных по виду экономической деятельности «Строительство» составит по консервативному варианту от 235,7 млн.руб. до 258,5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млн.руб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, по базовому варианту прогноза от 349,2 млн.руб. до 403,9 млн.руб., по целевому от 356,1 млн.руб. до 439,0 млн.руб. за период с 2022 по 2024 годы соответственно.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Инвестиции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Выгодное географическое положение (близость к областному центру), развитая транспортная инфраструктура, древесных и дикорастущих ресурсов, наличие свободных производственных площадей с необходимой инфраструктурой, наличие разведанных запасов общераспространенных полезных ископаемых, – объективные факторные условия, которые являются источниками устойчивых конкурентных преимуществ района и обуславливают возможность динамичного развития бизнеса на его территории, реализации новых бизнес-проектов.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С 2021 года ожидается увеличение объема инвестиций умеренными темпами, благодаря реализации проектов ООО «Агро» по строительству завода по переработке льна, ООО КХ Куендат продолжит инвестировать в проект по строительству фермы в д. Туендат, также на территории Первомайского района продолжится реализация проекта ООО «Сибирский биоуголь» по переработке древесных отходов, ООО «А-лес» начал планирует реализацию проекта по модернизации производства переработки древесных отходов, ООО «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Визант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>» планирует расширение производства переработки древесины.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планах строительство котельной в п. Улу-Юл 105,9 млн. руб., строительство школы в с. Первомайском на сумму 421 млн.руб., строительство дома культуры в с. Березовка на сумму 60 млн.руб.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Объем инвестиций по полному кругу предприятий в прогнозном периоде на 2022-2024 годы составит по консервативному варианту от 688,5 млн.руб. до 779,0 млн.руб., по базовому от 695,4 млн.руб. до 834,5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млн.руб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>, по целевому от 710,4 млн.руб. до 883,1 млн.руб. соответственно.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Торговля и услуги населению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населения, а также увеличением кредитования банками покупок населением товаров длительного пользования.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прогнозируемом периоде планируется рост потребления непродовольственных товаров, предполагается рост и развитие рынка платных услуг населению, что связано с увеличением числа СМП в сфере потребительского рынка.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Оборот розничной торговли по консервативному варианту прогноза составит от 1364,4 млн.руб. в 2022 году до 1485,2 млн.руб. в 2024 году; по базовому варианту от 1407,9 млн.руб. в 2022 году до 1596,8 млн.руб. в 2024 году, по целевому варианту от 1447,6 млн.руб. до 1700,0 млн.руб.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Малое и среднее предпринимательство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>Прогноз развития малого бизнеса Первомайского района на среднесрочную перспективу (на 202</w:t>
      </w:r>
      <w:r w:rsidR="00862FC2">
        <w:rPr>
          <w:rFonts w:ascii="Times New Roman" w:hAnsi="Times New Roman" w:cs="Times New Roman"/>
          <w:sz w:val="24"/>
          <w:szCs w:val="24"/>
        </w:rPr>
        <w:t>2</w:t>
      </w:r>
      <w:r w:rsidRPr="007A2CA5">
        <w:rPr>
          <w:rFonts w:ascii="Times New Roman" w:hAnsi="Times New Roman" w:cs="Times New Roman"/>
          <w:sz w:val="24"/>
          <w:szCs w:val="24"/>
        </w:rPr>
        <w:t xml:space="preserve">-2024 годы) учитывает ряд мер, направленных на поддержку и развитие малого предпринимательства, как на федеральном, так и на региональном и муниципальном уровнях.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 xml:space="preserve">В рамках программы «Развитие малого и среднего предпринимательства в Первомайском районе на 2021-2023 годы» содержатся </w:t>
      </w:r>
      <w:proofErr w:type="gramStart"/>
      <w:r w:rsidRPr="007A2CA5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и развитие предпринимательской деятельности, в том числе финансовая поддержка стартующего бизнеса. </w:t>
      </w:r>
    </w:p>
    <w:p w:rsid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lastRenderedPageBreak/>
        <w:t>Будет продолжена практика заключения социальных контрактов на развитие собственного дела, благодаря которому предприниматели могут получить государственную социальную помощь до 250 тыс.руб.</w:t>
      </w:r>
    </w:p>
    <w:p w:rsidR="00862FC2" w:rsidRDefault="00862FC2" w:rsidP="00862FC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планируется оказание финансовой поддержки предпринимателей, осуществляющих деятельность в сфере промышленной рыбной ловли, сумма субсидий составит 0,8 тыс.руб.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прогнозном периоде ожидается рост числа СМП: по консервативному варианту от 405 ед. в 2022 году до 407 ед. в 2024 году, по базовому варианту от 410 ед. в 2021 году до 412 ед. в 2023 году, по целевому варианту от 412 ед. в 2022 году до 414 ед. в 2024 году.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>Среднесписочная численность работников малых и средних предприятий увеличится по сравнению с 2020 годом и вернется к уровню 2019 года: от 1,8 тыс. чел. до 1,9 тыс. чел. по консервативному варианту, на уровне от 1,9 тыс.чел. до 2,0 тыс. чел. по базовому варианту, по целевому от 2,0 тыс.чел. до 2,1 тыс.чел.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ab/>
        <w:t>Оборот малых предприятий составит по консервативному варианту от 1,4 млрд.руб. в 2022 году до 1,5 млрд.руб. в 2024 году, по базовому варианту от 1,5 млрд.руб. в 2022 году до 1,6 млрд.руб. в 2024 году, по целевому от 1,5 млрд.руб. в 2022 году до 1,7 млрд.руб. в 2024 году.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Финансы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Прибыль прибыльных организаций продолжит расти. Убытки имеют тенденцию к сокращению.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прогнозном периоде прибыль составит: по консервативному варианту от 5,2 млн.руб. в 2022 году до 15,3 млн.руб. в 2024 году, по базовому варианту от 56,9 млн.руб. в 2022 году до 59,1 млн.руб. в 2024 году, по целевому варианту от 60,2 млн.руб. в 2022 году до 79 млн.руб. в 2024 году.</w:t>
      </w:r>
    </w:p>
    <w:p w:rsidR="00862FC2" w:rsidRDefault="00862FC2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Население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Демографическая ситуация в районе в прогнозном периоде будет развиваться под влиянием сложившихся тенденций рождаемости, смертности и миграции населения. В 2022-2024 годах процесс естественной убыли сохранится, но темпы снижения останутся умеренными.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на 01.01.2021 года составляет 16,3 тыс. человек.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Последнее время имеется тенденция к сокращению уровня миграции, темпы миграционного снижения существенно снизились.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перспективе в целевом варианте прогноза ожидается рост численности населения района и к 2024 года она составит 16,4 тыс.чел., в базовом варианте численность населения не изменится, а по консервативному сценарию численность будет сокращаться и к 2024 году составит 16,2 тыс.чел.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2CA5" w:rsidRPr="00862FC2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FC2">
        <w:rPr>
          <w:rFonts w:ascii="Times New Roman" w:hAnsi="Times New Roman" w:cs="Times New Roman"/>
          <w:b/>
          <w:sz w:val="24"/>
          <w:szCs w:val="24"/>
        </w:rPr>
        <w:t>Труд и занятость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Номинальная начисленная заработная плата имеет тенденцию к росту, благодаря индексации работникам крупных коммерческих предприятий и бюджетной сферы на уровень прогнозируемой инфляции, повышению МРОТ, за счет роста производительности труда.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прогнозном периоде на 2022-2024 годы составит: по консервативному варианту от 3</w:t>
      </w:r>
      <w:r w:rsidR="00862FC2">
        <w:rPr>
          <w:rFonts w:ascii="Times New Roman" w:hAnsi="Times New Roman" w:cs="Times New Roman"/>
          <w:sz w:val="24"/>
          <w:szCs w:val="24"/>
        </w:rPr>
        <w:t>5802,3</w:t>
      </w:r>
      <w:r w:rsidRPr="007A2CA5">
        <w:rPr>
          <w:rFonts w:ascii="Times New Roman" w:hAnsi="Times New Roman" w:cs="Times New Roman"/>
          <w:sz w:val="24"/>
          <w:szCs w:val="24"/>
        </w:rPr>
        <w:t xml:space="preserve"> руб. в 2022 году до </w:t>
      </w:r>
      <w:r w:rsidR="00FB2589">
        <w:rPr>
          <w:rFonts w:ascii="Times New Roman" w:hAnsi="Times New Roman" w:cs="Times New Roman"/>
          <w:sz w:val="24"/>
          <w:szCs w:val="24"/>
        </w:rPr>
        <w:t>39472,1</w:t>
      </w:r>
      <w:r w:rsidRPr="007A2CA5">
        <w:rPr>
          <w:rFonts w:ascii="Times New Roman" w:hAnsi="Times New Roman" w:cs="Times New Roman"/>
          <w:sz w:val="24"/>
          <w:szCs w:val="24"/>
        </w:rPr>
        <w:t xml:space="preserve">0 руб. в 2024 году, по базовому варианту от </w:t>
      </w:r>
      <w:r w:rsidR="00FB2589">
        <w:rPr>
          <w:rFonts w:ascii="Times New Roman" w:hAnsi="Times New Roman" w:cs="Times New Roman"/>
          <w:sz w:val="24"/>
          <w:szCs w:val="24"/>
        </w:rPr>
        <w:t>36248,6</w:t>
      </w:r>
      <w:r w:rsidRPr="007A2CA5">
        <w:rPr>
          <w:rFonts w:ascii="Times New Roman" w:hAnsi="Times New Roman" w:cs="Times New Roman"/>
          <w:sz w:val="24"/>
          <w:szCs w:val="24"/>
        </w:rPr>
        <w:t xml:space="preserve"> руб. в 2022 году до </w:t>
      </w:r>
      <w:r w:rsidR="00FB2589">
        <w:rPr>
          <w:rFonts w:ascii="Times New Roman" w:hAnsi="Times New Roman" w:cs="Times New Roman"/>
          <w:sz w:val="24"/>
          <w:szCs w:val="24"/>
        </w:rPr>
        <w:t>41114,0</w:t>
      </w:r>
      <w:r w:rsidRPr="007A2CA5">
        <w:rPr>
          <w:rFonts w:ascii="Times New Roman" w:hAnsi="Times New Roman" w:cs="Times New Roman"/>
          <w:sz w:val="24"/>
          <w:szCs w:val="24"/>
        </w:rPr>
        <w:t xml:space="preserve"> руб. в 2024 году, по целевому варианту от </w:t>
      </w:r>
      <w:r w:rsidR="00FB2589">
        <w:rPr>
          <w:rFonts w:ascii="Times New Roman" w:hAnsi="Times New Roman" w:cs="Times New Roman"/>
          <w:sz w:val="24"/>
          <w:szCs w:val="24"/>
        </w:rPr>
        <w:t>36729,1 тыс.руб. в 2022 году до 42051,2</w:t>
      </w:r>
      <w:r w:rsidRPr="007A2CA5">
        <w:rPr>
          <w:rFonts w:ascii="Times New Roman" w:hAnsi="Times New Roman" w:cs="Times New Roman"/>
          <w:sz w:val="24"/>
          <w:szCs w:val="24"/>
        </w:rPr>
        <w:t xml:space="preserve"> тыс.руб. в 2024 году.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В прогнозном периоде ожидается сокращение уровня безработицы по сравнению с 2020 годом благодаря мерам, принимаемым в Первомайском районе для повышения уровня занятости населения: в период 2022 по 2024 годы по консервативному варианту уровень безработицы составит </w:t>
      </w:r>
      <w:r w:rsidR="00FB2589">
        <w:rPr>
          <w:rFonts w:ascii="Times New Roman" w:hAnsi="Times New Roman" w:cs="Times New Roman"/>
          <w:sz w:val="24"/>
          <w:szCs w:val="24"/>
        </w:rPr>
        <w:t>2,3</w:t>
      </w:r>
      <w:r w:rsidR="0019026E">
        <w:rPr>
          <w:rFonts w:ascii="Times New Roman" w:hAnsi="Times New Roman" w:cs="Times New Roman"/>
          <w:sz w:val="24"/>
          <w:szCs w:val="24"/>
        </w:rPr>
        <w:t>%</w:t>
      </w:r>
      <w:r w:rsidRPr="007A2CA5">
        <w:rPr>
          <w:rFonts w:ascii="Times New Roman" w:hAnsi="Times New Roman" w:cs="Times New Roman"/>
          <w:sz w:val="24"/>
          <w:szCs w:val="24"/>
        </w:rPr>
        <w:t xml:space="preserve">, по базовому от </w:t>
      </w:r>
      <w:r w:rsidR="00FB2589">
        <w:rPr>
          <w:rFonts w:ascii="Times New Roman" w:hAnsi="Times New Roman" w:cs="Times New Roman"/>
          <w:sz w:val="24"/>
          <w:szCs w:val="24"/>
        </w:rPr>
        <w:t>1,6</w:t>
      </w:r>
      <w:r w:rsidRPr="007A2CA5">
        <w:rPr>
          <w:rFonts w:ascii="Times New Roman" w:hAnsi="Times New Roman" w:cs="Times New Roman"/>
          <w:sz w:val="24"/>
          <w:szCs w:val="24"/>
        </w:rPr>
        <w:t>%</w:t>
      </w:r>
      <w:r w:rsidR="0019026E">
        <w:rPr>
          <w:rFonts w:ascii="Times New Roman" w:hAnsi="Times New Roman" w:cs="Times New Roman"/>
          <w:sz w:val="24"/>
          <w:szCs w:val="24"/>
        </w:rPr>
        <w:t>,</w:t>
      </w:r>
      <w:r w:rsidRPr="007A2CA5">
        <w:rPr>
          <w:rFonts w:ascii="Times New Roman" w:hAnsi="Times New Roman" w:cs="Times New Roman"/>
          <w:sz w:val="24"/>
          <w:szCs w:val="24"/>
        </w:rPr>
        <w:t xml:space="preserve"> по целевому от </w:t>
      </w:r>
      <w:r w:rsidR="00FB2589">
        <w:rPr>
          <w:rFonts w:ascii="Times New Roman" w:hAnsi="Times New Roman" w:cs="Times New Roman"/>
          <w:sz w:val="24"/>
          <w:szCs w:val="24"/>
        </w:rPr>
        <w:t>1,5</w:t>
      </w:r>
      <w:r w:rsidRPr="007A2CA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lastRenderedPageBreak/>
        <w:t>Число безработных граждан также постепенно сократится по сравнению с 2020 годом и к 2024 году составит: 0,</w:t>
      </w:r>
      <w:r w:rsidR="003E73B8">
        <w:rPr>
          <w:rFonts w:ascii="Times New Roman" w:hAnsi="Times New Roman" w:cs="Times New Roman"/>
          <w:sz w:val="24"/>
          <w:szCs w:val="24"/>
        </w:rPr>
        <w:t>2</w:t>
      </w:r>
      <w:r w:rsidRPr="007A2CA5">
        <w:rPr>
          <w:rFonts w:ascii="Times New Roman" w:hAnsi="Times New Roman" w:cs="Times New Roman"/>
          <w:sz w:val="24"/>
          <w:szCs w:val="24"/>
        </w:rPr>
        <w:t xml:space="preserve"> тыс. человек. по консервативному варианту, 0,</w:t>
      </w:r>
      <w:r w:rsidR="003E73B8">
        <w:rPr>
          <w:rFonts w:ascii="Times New Roman" w:hAnsi="Times New Roman" w:cs="Times New Roman"/>
          <w:sz w:val="24"/>
          <w:szCs w:val="24"/>
        </w:rPr>
        <w:t>1</w:t>
      </w:r>
      <w:r w:rsidRPr="007A2CA5">
        <w:rPr>
          <w:rFonts w:ascii="Times New Roman" w:hAnsi="Times New Roman" w:cs="Times New Roman"/>
          <w:sz w:val="24"/>
          <w:szCs w:val="24"/>
        </w:rPr>
        <w:t xml:space="preserve"> тыс. человек по базовому и целевому вариантам.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Расчет фонда заработной платы работников организаций на прогнозный период 2022-2024 годы произведен исходя из ожидаемого размера фонда оплаты труда крупных и средних предприятий (с учетом структурных подразделений организаций, расположенных на территории района) на основании данных органов статистики, с учетом оценки поступления налога на доходы физических лиц в 2020 году и оценки льгот и вычетов, представленных по уплате налога на доходы физических лиц. 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Также при расчете учитывается информация по прогнозу фонда заработной платы, полученная от предприятий и организаций, реализующих инвестиционные проекты на территории Первомайского района.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прогнозном периоде предприятием ООО «</w:t>
      </w:r>
      <w:proofErr w:type="spellStart"/>
      <w:r w:rsidRPr="007A2CA5">
        <w:rPr>
          <w:rFonts w:ascii="Times New Roman" w:hAnsi="Times New Roman" w:cs="Times New Roman"/>
          <w:sz w:val="24"/>
          <w:szCs w:val="24"/>
        </w:rPr>
        <w:t>Визант</w:t>
      </w:r>
      <w:proofErr w:type="spellEnd"/>
      <w:r w:rsidRPr="007A2CA5">
        <w:rPr>
          <w:rFonts w:ascii="Times New Roman" w:hAnsi="Times New Roman" w:cs="Times New Roman"/>
          <w:sz w:val="24"/>
          <w:szCs w:val="24"/>
        </w:rPr>
        <w:t>» к 2024 году запланировано создание 100 новых рабочих мест в рамках реализации проекта по модернизации лесоперерабатывающего производства.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ООО «Агро» планирует создание новых рабочих мест в рамках реализации проекта по строительству льнозавода.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В Первомайском районе проводятся мероприятия по постановке на налоговый учет незаконной предпринимательской деятельности, обособленных подразделений бизнеса и выявлению неформально занятых граждан, за счет чего будут созданы новые рабочие места.</w:t>
      </w:r>
    </w:p>
    <w:p w:rsidR="007A2CA5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>Ежегодно создаются новые рабочие места в рамках конкурсов предпринимательских проектов «Успешных старт» и «Начинающий фермер».</w:t>
      </w:r>
    </w:p>
    <w:p w:rsidR="00681C62" w:rsidRPr="007A2CA5" w:rsidRDefault="007A2CA5" w:rsidP="007A2CA5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A2CA5">
        <w:rPr>
          <w:rFonts w:ascii="Times New Roman" w:hAnsi="Times New Roman" w:cs="Times New Roman"/>
          <w:sz w:val="24"/>
          <w:szCs w:val="24"/>
        </w:rPr>
        <w:t xml:space="preserve">Таким образом фонд заработной платы по полному кругу предприятий и организаций, включая индивидуальных предпринимателей, составит: по консервативному варианту от </w:t>
      </w:r>
      <w:r w:rsidR="003E73B8">
        <w:rPr>
          <w:rFonts w:ascii="Times New Roman" w:hAnsi="Times New Roman" w:cs="Times New Roman"/>
          <w:sz w:val="24"/>
          <w:szCs w:val="24"/>
        </w:rPr>
        <w:t>1439,9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2022 году до </w:t>
      </w:r>
      <w:r w:rsidR="003E73B8">
        <w:rPr>
          <w:rFonts w:ascii="Times New Roman" w:hAnsi="Times New Roman" w:cs="Times New Roman"/>
          <w:sz w:val="24"/>
          <w:szCs w:val="24"/>
        </w:rPr>
        <w:t>1587,</w:t>
      </w:r>
      <w:proofErr w:type="gramStart"/>
      <w:r w:rsidR="003E73B8">
        <w:rPr>
          <w:rFonts w:ascii="Times New Roman" w:hAnsi="Times New Roman" w:cs="Times New Roman"/>
          <w:sz w:val="24"/>
          <w:szCs w:val="24"/>
        </w:rPr>
        <w:t>5</w:t>
      </w:r>
      <w:r w:rsidRPr="007A2CA5">
        <w:rPr>
          <w:rFonts w:ascii="Times New Roman" w:hAnsi="Times New Roman" w:cs="Times New Roman"/>
          <w:sz w:val="24"/>
          <w:szCs w:val="24"/>
        </w:rPr>
        <w:t xml:space="preserve">  млн.руб.</w:t>
      </w:r>
      <w:proofErr w:type="gramEnd"/>
      <w:r w:rsidRPr="007A2CA5">
        <w:rPr>
          <w:rFonts w:ascii="Times New Roman" w:hAnsi="Times New Roman" w:cs="Times New Roman"/>
          <w:sz w:val="24"/>
          <w:szCs w:val="24"/>
        </w:rPr>
        <w:t xml:space="preserve"> в 2024 году, по базовому варианту от </w:t>
      </w:r>
      <w:r w:rsidR="003E73B8">
        <w:rPr>
          <w:rFonts w:ascii="Times New Roman" w:hAnsi="Times New Roman" w:cs="Times New Roman"/>
          <w:sz w:val="24"/>
          <w:szCs w:val="24"/>
        </w:rPr>
        <w:t>1457,9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2022 году до </w:t>
      </w:r>
      <w:r w:rsidR="003E73B8">
        <w:rPr>
          <w:rFonts w:ascii="Times New Roman" w:hAnsi="Times New Roman" w:cs="Times New Roman"/>
          <w:sz w:val="24"/>
          <w:szCs w:val="24"/>
        </w:rPr>
        <w:t>1653,5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2024 году, по целевому от </w:t>
      </w:r>
      <w:r w:rsidR="003E73B8">
        <w:rPr>
          <w:rFonts w:ascii="Times New Roman" w:hAnsi="Times New Roman" w:cs="Times New Roman"/>
          <w:sz w:val="24"/>
          <w:szCs w:val="24"/>
        </w:rPr>
        <w:t>1477,2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2022 году до </w:t>
      </w:r>
      <w:r w:rsidR="003E73B8">
        <w:rPr>
          <w:rFonts w:ascii="Times New Roman" w:hAnsi="Times New Roman" w:cs="Times New Roman"/>
          <w:sz w:val="24"/>
          <w:szCs w:val="24"/>
        </w:rPr>
        <w:t>1691,2</w:t>
      </w:r>
      <w:r w:rsidRPr="007A2CA5">
        <w:rPr>
          <w:rFonts w:ascii="Times New Roman" w:hAnsi="Times New Roman" w:cs="Times New Roman"/>
          <w:sz w:val="24"/>
          <w:szCs w:val="24"/>
        </w:rPr>
        <w:t xml:space="preserve"> млн.руб. в 2024 году.</w:t>
      </w:r>
    </w:p>
    <w:sectPr w:rsidR="00681C62" w:rsidRPr="007A2CA5" w:rsidSect="00E3707E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64C"/>
    <w:multiLevelType w:val="hybridMultilevel"/>
    <w:tmpl w:val="7954FD50"/>
    <w:lvl w:ilvl="0" w:tplc="1AC42BF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9C"/>
    <w:rsid w:val="00003B1B"/>
    <w:rsid w:val="00046F17"/>
    <w:rsid w:val="00053F8C"/>
    <w:rsid w:val="00065803"/>
    <w:rsid w:val="000743CD"/>
    <w:rsid w:val="000905F6"/>
    <w:rsid w:val="000E6DBD"/>
    <w:rsid w:val="000E71C6"/>
    <w:rsid w:val="00124E80"/>
    <w:rsid w:val="0019026E"/>
    <w:rsid w:val="001A28D1"/>
    <w:rsid w:val="001C533E"/>
    <w:rsid w:val="001F4135"/>
    <w:rsid w:val="00270477"/>
    <w:rsid w:val="002C6701"/>
    <w:rsid w:val="003339AD"/>
    <w:rsid w:val="003E73B8"/>
    <w:rsid w:val="003F50D3"/>
    <w:rsid w:val="00456061"/>
    <w:rsid w:val="005561ED"/>
    <w:rsid w:val="005A019F"/>
    <w:rsid w:val="005C018C"/>
    <w:rsid w:val="00612E80"/>
    <w:rsid w:val="0061565B"/>
    <w:rsid w:val="00655B93"/>
    <w:rsid w:val="00681C62"/>
    <w:rsid w:val="00711770"/>
    <w:rsid w:val="007434D0"/>
    <w:rsid w:val="007A139C"/>
    <w:rsid w:val="007A2CA5"/>
    <w:rsid w:val="008504B0"/>
    <w:rsid w:val="00860E2B"/>
    <w:rsid w:val="00862FC2"/>
    <w:rsid w:val="008B7F2F"/>
    <w:rsid w:val="009B6471"/>
    <w:rsid w:val="00A56D71"/>
    <w:rsid w:val="00A65D00"/>
    <w:rsid w:val="00AF3B58"/>
    <w:rsid w:val="00B06D96"/>
    <w:rsid w:val="00B154D9"/>
    <w:rsid w:val="00B24475"/>
    <w:rsid w:val="00B84BFC"/>
    <w:rsid w:val="00BE6664"/>
    <w:rsid w:val="00C36D9C"/>
    <w:rsid w:val="00C6445D"/>
    <w:rsid w:val="00CB7B96"/>
    <w:rsid w:val="00CC5CE0"/>
    <w:rsid w:val="00CD1321"/>
    <w:rsid w:val="00DC290A"/>
    <w:rsid w:val="00E23D77"/>
    <w:rsid w:val="00E3707E"/>
    <w:rsid w:val="00EC707B"/>
    <w:rsid w:val="00F0037D"/>
    <w:rsid w:val="00F34435"/>
    <w:rsid w:val="00F51A34"/>
    <w:rsid w:val="00FB1D86"/>
    <w:rsid w:val="00FB2589"/>
    <w:rsid w:val="00F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19EF"/>
  <w15:docId w15:val="{EC865B92-6013-403E-8CCF-B0ADEA11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9C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681C62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6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1C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1C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1C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6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81C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1C6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C62"/>
  </w:style>
  <w:style w:type="character" w:styleId="a5">
    <w:name w:val="Hyperlink"/>
    <w:basedOn w:val="a0"/>
    <w:uiPriority w:val="99"/>
    <w:unhideWhenUsed/>
    <w:rsid w:val="00681C6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81C62"/>
    <w:rPr>
      <w:color w:val="800080"/>
      <w:u w:val="single"/>
    </w:rPr>
  </w:style>
  <w:style w:type="paragraph" w:customStyle="1" w:styleId="xl65">
    <w:name w:val="xl65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FF"/>
      <w:sz w:val="24"/>
      <w:szCs w:val="24"/>
      <w:lang w:eastAsia="ru-RU"/>
    </w:rPr>
  </w:style>
  <w:style w:type="paragraph" w:customStyle="1" w:styleId="xl70">
    <w:name w:val="xl70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71">
    <w:name w:val="xl71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72">
    <w:name w:val="xl72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74">
    <w:name w:val="xl74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81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7">
    <w:name w:val="xl77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1">
    <w:name w:val="xl8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9">
    <w:name w:val="xl8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0">
    <w:name w:val="xl9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3">
    <w:name w:val="xl9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5">
    <w:name w:val="xl9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0">
    <w:name w:val="xl10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1">
    <w:name w:val="xl10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3">
    <w:name w:val="xl10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4">
    <w:name w:val="xl10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5">
    <w:name w:val="xl10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6">
    <w:name w:val="xl10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7">
    <w:name w:val="xl10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8">
    <w:name w:val="xl10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2">
    <w:name w:val="xl11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5">
    <w:name w:val="xl11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6">
    <w:name w:val="xl11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7">
    <w:name w:val="xl11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18">
    <w:name w:val="xl11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9">
    <w:name w:val="xl11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0">
    <w:name w:val="xl12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1">
    <w:name w:val="xl12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3">
    <w:name w:val="xl12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4">
    <w:name w:val="xl12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6">
    <w:name w:val="xl12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7">
    <w:name w:val="xl12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8">
    <w:name w:val="xl12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29">
    <w:name w:val="xl12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0">
    <w:name w:val="xl13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1">
    <w:name w:val="xl13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3">
    <w:name w:val="xl13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4">
    <w:name w:val="xl13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5">
    <w:name w:val="xl13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6">
    <w:name w:val="xl13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7">
    <w:name w:val="xl13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8">
    <w:name w:val="xl13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0">
    <w:name w:val="xl14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2">
    <w:name w:val="xl14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3">
    <w:name w:val="xl14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5">
    <w:name w:val="xl14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6">
    <w:name w:val="xl14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8">
    <w:name w:val="xl14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0">
    <w:name w:val="xl15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1">
    <w:name w:val="xl15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2">
    <w:name w:val="xl15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3">
    <w:name w:val="xl15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4">
    <w:name w:val="xl15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5">
    <w:name w:val="xl15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6">
    <w:name w:val="xl15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7">
    <w:name w:val="xl15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8">
    <w:name w:val="xl15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9">
    <w:name w:val="xl15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0">
    <w:name w:val="xl16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1">
    <w:name w:val="xl16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2">
    <w:name w:val="xl162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4">
    <w:name w:val="xl164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7">
    <w:name w:val="xl16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8">
    <w:name w:val="xl16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9">
    <w:name w:val="xl16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70">
    <w:name w:val="xl170"/>
    <w:basedOn w:val="a"/>
    <w:rsid w:val="00681C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1">
    <w:name w:val="xl17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2">
    <w:name w:val="xl17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3">
    <w:name w:val="xl17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9">
    <w:name w:val="xl17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80">
    <w:name w:val="xl1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81">
    <w:name w:val="xl181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3">
    <w:name w:val="xl183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a7">
    <w:name w:val="Body Text"/>
    <w:basedOn w:val="a"/>
    <w:link w:val="a8"/>
    <w:rsid w:val="00681C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81C6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nt5">
    <w:name w:val="font5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styleId="a9">
    <w:name w:val="header"/>
    <w:basedOn w:val="a"/>
    <w:link w:val="aa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F3B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F3B58"/>
    <w:rPr>
      <w:sz w:val="16"/>
      <w:szCs w:val="16"/>
    </w:rPr>
  </w:style>
  <w:style w:type="paragraph" w:styleId="ad">
    <w:name w:val="Normal (Web)"/>
    <w:basedOn w:val="a"/>
    <w:uiPriority w:val="99"/>
    <w:unhideWhenUsed/>
    <w:rsid w:val="00E2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2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7375</Words>
  <Characters>42040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Priemnaja</cp:lastModifiedBy>
  <cp:revision>2</cp:revision>
  <cp:lastPrinted>2021-11-16T01:34:00Z</cp:lastPrinted>
  <dcterms:created xsi:type="dcterms:W3CDTF">2021-11-17T07:31:00Z</dcterms:created>
  <dcterms:modified xsi:type="dcterms:W3CDTF">2021-11-17T07:31:00Z</dcterms:modified>
</cp:coreProperties>
</file>