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C7" w:rsidRDefault="000269C7" w:rsidP="003A664C">
      <w:pPr>
        <w:spacing w:after="0" w:line="240" w:lineRule="auto"/>
        <w:jc w:val="center"/>
        <w:rPr>
          <w:rFonts w:ascii="Times New Roman" w:hAnsi="Times New Roman" w:cs="Times New Roman"/>
          <w:b/>
        </w:rPr>
      </w:pPr>
    </w:p>
    <w:p w:rsidR="003A664C" w:rsidRPr="008953BC" w:rsidRDefault="002D4795" w:rsidP="003A664C">
      <w:pPr>
        <w:spacing w:after="0" w:line="240" w:lineRule="auto"/>
        <w:jc w:val="center"/>
        <w:rPr>
          <w:rFonts w:ascii="Times New Roman" w:hAnsi="Times New Roman" w:cs="Times New Roman"/>
          <w:b/>
          <w:szCs w:val="24"/>
        </w:rPr>
      </w:pPr>
      <w:r w:rsidRPr="002D4795">
        <w:rPr>
          <w:rFonts w:ascii="Times New Roman" w:hAnsi="Times New Roman" w:cs="Times New Roman"/>
          <w:b/>
        </w:rPr>
        <w:t>Сводная таблица результатов проведения публичных консультаций по</w:t>
      </w:r>
      <w:r w:rsidR="003A664C" w:rsidRPr="003A664C">
        <w:rPr>
          <w:rFonts w:ascii="Times New Roman" w:hAnsi="Times New Roman" w:cs="Times New Roman"/>
          <w:b/>
          <w:sz w:val="28"/>
        </w:rPr>
        <w:t xml:space="preserve"> </w:t>
      </w:r>
      <w:r w:rsidR="003A664C" w:rsidRPr="008953BC">
        <w:rPr>
          <w:rFonts w:ascii="Times New Roman" w:hAnsi="Times New Roman" w:cs="Times New Roman"/>
          <w:b/>
        </w:rPr>
        <w:t xml:space="preserve">постановлению Администрации Первомайского района от 27.10.2015 № 230 </w:t>
      </w:r>
      <w:r w:rsidR="003A664C" w:rsidRPr="008953BC">
        <w:rPr>
          <w:rFonts w:ascii="Times New Roman" w:hAnsi="Times New Roman" w:cs="Times New Roman"/>
          <w:b/>
          <w:sz w:val="24"/>
        </w:rPr>
        <w:t>«</w:t>
      </w:r>
      <w:r w:rsidR="003A664C" w:rsidRPr="008953BC">
        <w:rPr>
          <w:rFonts w:ascii="Times New Roman" w:hAnsi="Times New Roman" w:cs="Times New Roman"/>
          <w:b/>
          <w:szCs w:val="24"/>
        </w:rPr>
        <w:t>Об утверждении порядка проведения конкурса</w:t>
      </w:r>
    </w:p>
    <w:p w:rsidR="003A664C" w:rsidRPr="008953BC" w:rsidRDefault="003A664C" w:rsidP="003A664C">
      <w:pPr>
        <w:spacing w:after="0" w:line="240" w:lineRule="auto"/>
        <w:jc w:val="center"/>
        <w:rPr>
          <w:rFonts w:ascii="Times New Roman" w:hAnsi="Times New Roman" w:cs="Times New Roman"/>
          <w:b/>
          <w:szCs w:val="24"/>
        </w:rPr>
      </w:pPr>
      <w:r w:rsidRPr="008953BC">
        <w:rPr>
          <w:rFonts w:ascii="Times New Roman" w:hAnsi="Times New Roman" w:cs="Times New Roman"/>
          <w:b/>
          <w:szCs w:val="24"/>
        </w:rPr>
        <w:t>предпринимательских проектов «Успешный старт»</w:t>
      </w:r>
    </w:p>
    <w:p w:rsidR="003A664C" w:rsidRDefault="003A664C" w:rsidP="008953BC">
      <w:pPr>
        <w:spacing w:after="0" w:line="240" w:lineRule="auto"/>
        <w:jc w:val="center"/>
        <w:rPr>
          <w:rFonts w:ascii="Times New Roman" w:hAnsi="Times New Roman" w:cs="Times New Roman"/>
          <w:b/>
          <w:szCs w:val="24"/>
        </w:rPr>
      </w:pPr>
      <w:r w:rsidRPr="008953BC">
        <w:rPr>
          <w:rFonts w:ascii="Times New Roman" w:hAnsi="Times New Roman" w:cs="Times New Roman"/>
          <w:b/>
          <w:szCs w:val="24"/>
        </w:rPr>
        <w:t>на территории муниципального образования «Первомайский район»</w:t>
      </w:r>
    </w:p>
    <w:p w:rsidR="008953BC" w:rsidRPr="008953BC" w:rsidRDefault="008953BC" w:rsidP="008953BC">
      <w:pPr>
        <w:spacing w:after="0" w:line="240" w:lineRule="auto"/>
        <w:jc w:val="center"/>
        <w:rPr>
          <w:rFonts w:ascii="Times New Roman" w:hAnsi="Times New Roman" w:cs="Times New Roman"/>
          <w:b/>
          <w:szCs w:val="24"/>
        </w:rPr>
      </w:pPr>
    </w:p>
    <w:tbl>
      <w:tblPr>
        <w:tblStyle w:val="a3"/>
        <w:tblW w:w="0" w:type="auto"/>
        <w:tblLook w:val="04A0"/>
      </w:tblPr>
      <w:tblGrid>
        <w:gridCol w:w="4219"/>
        <w:gridCol w:w="7655"/>
        <w:gridCol w:w="2912"/>
      </w:tblGrid>
      <w:tr w:rsidR="002D4795" w:rsidRPr="006F272D" w:rsidTr="003A664C">
        <w:tc>
          <w:tcPr>
            <w:tcW w:w="4219" w:type="dxa"/>
          </w:tcPr>
          <w:p w:rsidR="002D4795" w:rsidRPr="006F272D" w:rsidRDefault="002D4795" w:rsidP="002D4795">
            <w:pPr>
              <w:jc w:val="center"/>
              <w:rPr>
                <w:rFonts w:ascii="Times New Roman" w:hAnsi="Times New Roman" w:cs="Times New Roman"/>
                <w:b/>
                <w:sz w:val="21"/>
                <w:szCs w:val="21"/>
              </w:rPr>
            </w:pPr>
            <w:r w:rsidRPr="006F272D">
              <w:rPr>
                <w:rFonts w:ascii="Times New Roman" w:hAnsi="Times New Roman" w:cs="Times New Roman"/>
                <w:b/>
                <w:sz w:val="21"/>
                <w:szCs w:val="21"/>
              </w:rPr>
              <w:t xml:space="preserve">Наименование участника публичных консультаций </w:t>
            </w:r>
          </w:p>
        </w:tc>
        <w:tc>
          <w:tcPr>
            <w:tcW w:w="7655" w:type="dxa"/>
          </w:tcPr>
          <w:p w:rsidR="002D4795" w:rsidRPr="006F272D" w:rsidRDefault="002D4795" w:rsidP="003A664C">
            <w:pPr>
              <w:jc w:val="center"/>
              <w:rPr>
                <w:rFonts w:ascii="Times New Roman" w:hAnsi="Times New Roman" w:cs="Times New Roman"/>
                <w:b/>
                <w:sz w:val="21"/>
                <w:szCs w:val="21"/>
              </w:rPr>
            </w:pPr>
            <w:r w:rsidRPr="006F272D">
              <w:rPr>
                <w:rFonts w:ascii="Times New Roman" w:hAnsi="Times New Roman" w:cs="Times New Roman"/>
                <w:b/>
                <w:sz w:val="21"/>
                <w:szCs w:val="21"/>
              </w:rPr>
              <w:t xml:space="preserve">Предложения и замечания по Постановлению Администрации Первомайского района от </w:t>
            </w:r>
            <w:r w:rsidR="003A664C">
              <w:rPr>
                <w:rFonts w:ascii="Times New Roman" w:hAnsi="Times New Roman" w:cs="Times New Roman"/>
                <w:b/>
                <w:sz w:val="21"/>
                <w:szCs w:val="21"/>
              </w:rPr>
              <w:t xml:space="preserve">27.10.2015 </w:t>
            </w:r>
            <w:r w:rsidRPr="006F272D">
              <w:rPr>
                <w:rFonts w:ascii="Times New Roman" w:hAnsi="Times New Roman" w:cs="Times New Roman"/>
                <w:b/>
                <w:sz w:val="21"/>
                <w:szCs w:val="21"/>
              </w:rPr>
              <w:t>№</w:t>
            </w:r>
            <w:r w:rsidR="003A664C">
              <w:rPr>
                <w:rFonts w:ascii="Times New Roman" w:hAnsi="Times New Roman" w:cs="Times New Roman"/>
                <w:b/>
                <w:sz w:val="21"/>
                <w:szCs w:val="21"/>
              </w:rPr>
              <w:t>230</w:t>
            </w:r>
          </w:p>
        </w:tc>
        <w:tc>
          <w:tcPr>
            <w:tcW w:w="2912" w:type="dxa"/>
          </w:tcPr>
          <w:p w:rsidR="002D4795" w:rsidRPr="006F272D" w:rsidRDefault="003B5FE0" w:rsidP="003A664C">
            <w:pPr>
              <w:jc w:val="center"/>
              <w:rPr>
                <w:rFonts w:ascii="Times New Roman" w:hAnsi="Times New Roman" w:cs="Times New Roman"/>
                <w:b/>
                <w:sz w:val="21"/>
                <w:szCs w:val="21"/>
              </w:rPr>
            </w:pPr>
            <w:r w:rsidRPr="006F272D">
              <w:rPr>
                <w:rFonts w:ascii="Times New Roman" w:hAnsi="Times New Roman" w:cs="Times New Roman"/>
                <w:b/>
                <w:sz w:val="21"/>
                <w:szCs w:val="21"/>
              </w:rPr>
              <w:t xml:space="preserve">Сведения об учете предложений/ замечаний при подготовке заключения об экспертизе Постановления Администрации Первомайского района от </w:t>
            </w:r>
            <w:r w:rsidR="003A664C">
              <w:rPr>
                <w:rFonts w:ascii="Times New Roman" w:hAnsi="Times New Roman" w:cs="Times New Roman"/>
                <w:b/>
                <w:sz w:val="21"/>
                <w:szCs w:val="21"/>
              </w:rPr>
              <w:t xml:space="preserve">27.10.2015 </w:t>
            </w:r>
            <w:r w:rsidR="003A664C" w:rsidRPr="006F272D">
              <w:rPr>
                <w:rFonts w:ascii="Times New Roman" w:hAnsi="Times New Roman" w:cs="Times New Roman"/>
                <w:b/>
                <w:sz w:val="21"/>
                <w:szCs w:val="21"/>
              </w:rPr>
              <w:t>№</w:t>
            </w:r>
            <w:r w:rsidR="003A664C">
              <w:rPr>
                <w:rFonts w:ascii="Times New Roman" w:hAnsi="Times New Roman" w:cs="Times New Roman"/>
                <w:b/>
                <w:sz w:val="21"/>
                <w:szCs w:val="21"/>
              </w:rPr>
              <w:t>230</w:t>
            </w:r>
          </w:p>
        </w:tc>
      </w:tr>
      <w:tr w:rsidR="000269C7" w:rsidRPr="006F272D" w:rsidTr="003A664C">
        <w:tc>
          <w:tcPr>
            <w:tcW w:w="4219" w:type="dxa"/>
            <w:vMerge w:val="restart"/>
          </w:tcPr>
          <w:p w:rsidR="000269C7" w:rsidRPr="006F272D" w:rsidRDefault="000269C7" w:rsidP="002D4795">
            <w:pPr>
              <w:jc w:val="center"/>
              <w:rPr>
                <w:rFonts w:ascii="Times New Roman" w:hAnsi="Times New Roman" w:cs="Times New Roman"/>
                <w:b/>
                <w:sz w:val="21"/>
                <w:szCs w:val="21"/>
              </w:rPr>
            </w:pPr>
            <w:r w:rsidRPr="006F272D">
              <w:rPr>
                <w:rFonts w:ascii="Times New Roman" w:hAnsi="Times New Roman" w:cs="Times New Roman"/>
                <w:b/>
                <w:sz w:val="21"/>
                <w:szCs w:val="21"/>
              </w:rPr>
              <w:t>Уполномоченный по защите прав предпринимателей в Томской области</w:t>
            </w:r>
          </w:p>
        </w:tc>
        <w:tc>
          <w:tcPr>
            <w:tcW w:w="7655" w:type="dxa"/>
          </w:tcPr>
          <w:p w:rsidR="000269C7" w:rsidRPr="006F272D" w:rsidRDefault="000269C7" w:rsidP="00D07124">
            <w:pPr>
              <w:rPr>
                <w:rFonts w:ascii="Times New Roman" w:hAnsi="Times New Roman" w:cs="Times New Roman"/>
                <w:sz w:val="21"/>
                <w:szCs w:val="21"/>
              </w:rPr>
            </w:pPr>
            <w:r>
              <w:rPr>
                <w:rFonts w:ascii="Times New Roman" w:hAnsi="Times New Roman" w:cs="Times New Roman"/>
                <w:sz w:val="21"/>
                <w:szCs w:val="21"/>
              </w:rPr>
              <w:t>Пунктом 3.1 Порядка предусмотрено понятие социального предпринимательства, определены его признаки, вместе с тем исходя из формулировки пункта, перечень признаков является открытым, что означает неопределенность правового регулирования. В целях устранения данного недостатка целесообразно предусмотреть исчерпывающий перечень таких критериев</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Согласно пункту 21 Порядка поддержка предоставляется после прохождения претендентом краткосрочного обучения, при этом не указано, какое обучение имеется в виду, кто его организует и за счет каких средств такое обучение финансируется</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В соответствии с подпунктом 6 пункта 34 существенные условия заявки переносятся в договор о предоставлении субсидии и изменению не подлежат. При этом не указано, какие условия признаются существенными. Учитывая данное обстоятельство, необходимо определить в Порядке, какие условия заявки относятся к существенным.</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Пунктом 37 Порядка предусмотрено, что, если конкурс не состоялся или имел отрицательный результат, по решению Конкурсной комиссии может быть проведен повторно. Вместе с тем не ясно, какой результат признается отрицательным и при каких обстоятельствах допускается повторное проведение конкурса, а при каких нет.</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 xml:space="preserve">Не учтено. </w:t>
            </w:r>
          </w:p>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В пункте 36 Порядка предусмотрены все критерии по Конкурсу</w:t>
            </w:r>
          </w:p>
          <w:p w:rsidR="000269C7" w:rsidRPr="000269C7" w:rsidRDefault="000269C7" w:rsidP="00844ACA">
            <w:pPr>
              <w:rPr>
                <w:rFonts w:ascii="Times New Roman" w:hAnsi="Times New Roman" w:cs="Times New Roman"/>
                <w:sz w:val="21"/>
                <w:szCs w:val="21"/>
              </w:rPr>
            </w:pP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В пункте 39 Порядка содержатся методические рекомендации, соблюдение которых обязательно, что само по себе противоречит природе рекомендаций. Кроме того, методические рекомендации дублируют положение раздела 4 Порядка.</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Подпунктом 15 пункта 39 Порядка (пункт 15 информационной карты) предусмотрено предоставление выписки из ЕГРЮЛ, ЕГРИП или их нотариально удостоверенной копии. Вместе с тем в соответствии с распоряжением Правительства РФ от 19.04.2016 № 724-р указанные документы должны запрашиваться в рамках межведомственного взаимодействия и не могут быть истребованы у заявителей в обязательном порядке (пункт 129, 131 Перечня, утвержденного указанным распоряжением)</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Подпунктом 15 пункта 39 Порядка также предусмотрено предоставление рекомендательного письма государственной службы занятости Томской области. Полагаем, что данное требование является излишним, поскольку предоставление данного письма не зависит напрямую от участника конкурса. Также в числе документов указана копия документа о профессиональном образовании. При этом разделом 4 Порядка не указано такое требование к соискателям и участникам конкурса, как наличие профессионального образования.</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r w:rsidR="000269C7" w:rsidRPr="006F272D" w:rsidTr="003A664C">
        <w:tc>
          <w:tcPr>
            <w:tcW w:w="4219" w:type="dxa"/>
            <w:vMerge/>
          </w:tcPr>
          <w:p w:rsidR="000269C7" w:rsidRPr="006F272D" w:rsidRDefault="000269C7" w:rsidP="002D4795">
            <w:pPr>
              <w:jc w:val="center"/>
              <w:rPr>
                <w:rFonts w:ascii="Times New Roman" w:hAnsi="Times New Roman" w:cs="Times New Roman"/>
                <w:b/>
                <w:sz w:val="21"/>
                <w:szCs w:val="21"/>
              </w:rPr>
            </w:pPr>
          </w:p>
        </w:tc>
        <w:tc>
          <w:tcPr>
            <w:tcW w:w="7655" w:type="dxa"/>
          </w:tcPr>
          <w:p w:rsidR="000269C7" w:rsidRDefault="000269C7" w:rsidP="00D07124">
            <w:pPr>
              <w:rPr>
                <w:rFonts w:ascii="Times New Roman" w:hAnsi="Times New Roman" w:cs="Times New Roman"/>
                <w:sz w:val="21"/>
                <w:szCs w:val="21"/>
              </w:rPr>
            </w:pPr>
            <w:r>
              <w:rPr>
                <w:rFonts w:ascii="Times New Roman" w:hAnsi="Times New Roman" w:cs="Times New Roman"/>
                <w:sz w:val="21"/>
                <w:szCs w:val="21"/>
              </w:rPr>
              <w:t>Согласно пункту 43 Порядка основанием для возврата субсидии является недостижение  основных финансово- экономических показателей предпринимательского проекта. Вместе с тем, исходя из пункта 40 Порядка, субсидия предоставляется на финансовое возмещение затрат, т.е. возмещаются те затраты, которые уже фактически произведены, Таким образом, на момент предоставления субсидии все показатели должны быть известны и проверяться еще на стадии предоставления. С учетом изложенного целесообразно исключить данное основание возврата субсидии и одновременно более подробно сформулировать условия предоставления субсидии, в том числе в части перечня документов, подтверждающих фактически перенесенные затраты, а также в части достижения финансово- экономических показателей</w:t>
            </w:r>
          </w:p>
        </w:tc>
        <w:tc>
          <w:tcPr>
            <w:tcW w:w="2912" w:type="dxa"/>
          </w:tcPr>
          <w:p w:rsidR="000269C7" w:rsidRPr="000269C7" w:rsidRDefault="000269C7" w:rsidP="002D4795">
            <w:pPr>
              <w:jc w:val="center"/>
              <w:rPr>
                <w:rFonts w:ascii="Times New Roman" w:hAnsi="Times New Roman" w:cs="Times New Roman"/>
                <w:sz w:val="21"/>
                <w:szCs w:val="21"/>
              </w:rPr>
            </w:pPr>
            <w:r w:rsidRPr="000269C7">
              <w:rPr>
                <w:rFonts w:ascii="Times New Roman" w:hAnsi="Times New Roman" w:cs="Times New Roman"/>
                <w:sz w:val="21"/>
                <w:szCs w:val="21"/>
              </w:rPr>
              <w:t>Учтено</w:t>
            </w:r>
          </w:p>
        </w:tc>
      </w:tr>
    </w:tbl>
    <w:p w:rsidR="006F272D" w:rsidRPr="002D4795" w:rsidRDefault="006F272D" w:rsidP="006F272D">
      <w:pPr>
        <w:rPr>
          <w:rFonts w:ascii="Times New Roman" w:hAnsi="Times New Roman" w:cs="Times New Roman"/>
          <w:b/>
        </w:rPr>
      </w:pPr>
    </w:p>
    <w:sectPr w:rsidR="006F272D" w:rsidRPr="002D4795" w:rsidSect="0023050C">
      <w:headerReference w:type="default" r:id="rId7"/>
      <w:footerReference w:type="default" r:id="rId8"/>
      <w:pgSz w:w="16838" w:h="11906" w:orient="landscape"/>
      <w:pgMar w:top="710" w:right="1134" w:bottom="85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F3" w:rsidRDefault="00D01BF3" w:rsidP="006F272D">
      <w:pPr>
        <w:spacing w:after="0" w:line="240" w:lineRule="auto"/>
      </w:pPr>
      <w:r>
        <w:separator/>
      </w:r>
    </w:p>
  </w:endnote>
  <w:endnote w:type="continuationSeparator" w:id="1">
    <w:p w:rsidR="00D01BF3" w:rsidRDefault="00D01BF3" w:rsidP="006F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D1" w:rsidRDefault="005153D1" w:rsidP="000269C7">
    <w:pPr>
      <w:pStyle w:val="a6"/>
      <w:tabs>
        <w:tab w:val="center" w:pos="7285"/>
        <w:tab w:val="left" w:pos="7950"/>
      </w:tabs>
    </w:pPr>
  </w:p>
  <w:p w:rsidR="005153D1" w:rsidRDefault="005153D1" w:rsidP="000269C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F3" w:rsidRDefault="00D01BF3" w:rsidP="006F272D">
      <w:pPr>
        <w:spacing w:after="0" w:line="240" w:lineRule="auto"/>
      </w:pPr>
      <w:r>
        <w:separator/>
      </w:r>
    </w:p>
  </w:footnote>
  <w:footnote w:type="continuationSeparator" w:id="1">
    <w:p w:rsidR="00D01BF3" w:rsidRDefault="00D01BF3" w:rsidP="006F2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C7" w:rsidRDefault="000269C7" w:rsidP="000269C7">
    <w:pPr>
      <w:spacing w:after="0" w:line="240" w:lineRule="auto"/>
      <w:jc w:val="right"/>
      <w:rPr>
        <w:rFonts w:ascii="Times New Roman" w:hAnsi="Times New Roman" w:cs="Times New Roman"/>
        <w:sz w:val="20"/>
        <w:szCs w:val="20"/>
      </w:rPr>
    </w:pPr>
    <w:r w:rsidRPr="003E2A63">
      <w:rPr>
        <w:rFonts w:ascii="Times New Roman" w:hAnsi="Times New Roman" w:cs="Times New Roman"/>
        <w:sz w:val="20"/>
        <w:szCs w:val="20"/>
      </w:rPr>
      <w:t xml:space="preserve">Приложение №1 к Заключению №4 </w:t>
    </w:r>
  </w:p>
  <w:p w:rsidR="000269C7" w:rsidRPr="003E2A63" w:rsidRDefault="000269C7" w:rsidP="000269C7">
    <w:pPr>
      <w:spacing w:after="0" w:line="240" w:lineRule="auto"/>
      <w:jc w:val="right"/>
      <w:rPr>
        <w:rFonts w:ascii="Times New Roman" w:hAnsi="Times New Roman" w:cs="Times New Roman"/>
        <w:sz w:val="20"/>
        <w:szCs w:val="20"/>
      </w:rPr>
    </w:pPr>
    <w:r w:rsidRPr="003E2A63">
      <w:rPr>
        <w:rFonts w:ascii="Times New Roman" w:hAnsi="Times New Roman" w:cs="Times New Roman"/>
        <w:sz w:val="20"/>
        <w:szCs w:val="20"/>
      </w:rPr>
      <w:t>«Об экспертизе постановления Администрации Первомайского района от 27.10.2015 № 230 «Об утверждении порядка проведения конкурса</w:t>
    </w:r>
  </w:p>
  <w:p w:rsidR="000269C7" w:rsidRPr="003E2A63" w:rsidRDefault="000269C7" w:rsidP="000269C7">
    <w:pPr>
      <w:spacing w:after="0" w:line="240" w:lineRule="auto"/>
      <w:jc w:val="right"/>
      <w:rPr>
        <w:rFonts w:ascii="Times New Roman" w:hAnsi="Times New Roman" w:cs="Times New Roman"/>
        <w:sz w:val="20"/>
        <w:szCs w:val="20"/>
      </w:rPr>
    </w:pPr>
    <w:r w:rsidRPr="003E2A63">
      <w:rPr>
        <w:rFonts w:ascii="Times New Roman" w:hAnsi="Times New Roman" w:cs="Times New Roman"/>
        <w:sz w:val="20"/>
        <w:szCs w:val="20"/>
      </w:rPr>
      <w:t>предпринимательских проектов «Успешный старт»</w:t>
    </w:r>
  </w:p>
  <w:p w:rsidR="005153D1" w:rsidRPr="000269C7" w:rsidRDefault="000269C7" w:rsidP="000269C7">
    <w:pPr>
      <w:spacing w:after="0" w:line="240" w:lineRule="auto"/>
      <w:jc w:val="right"/>
      <w:rPr>
        <w:rFonts w:ascii="Times New Roman" w:hAnsi="Times New Roman" w:cs="Times New Roman"/>
        <w:sz w:val="20"/>
        <w:szCs w:val="20"/>
      </w:rPr>
    </w:pPr>
    <w:r w:rsidRPr="003E2A63">
      <w:rPr>
        <w:rFonts w:ascii="Times New Roman" w:hAnsi="Times New Roman" w:cs="Times New Roman"/>
        <w:sz w:val="20"/>
        <w:szCs w:val="20"/>
      </w:rPr>
      <w:t>на территории муниципального образования «Первомайский район»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2D4795"/>
    <w:rsid w:val="000269C7"/>
    <w:rsid w:val="00036CDE"/>
    <w:rsid w:val="0023050C"/>
    <w:rsid w:val="00237EDB"/>
    <w:rsid w:val="002D4795"/>
    <w:rsid w:val="003A664C"/>
    <w:rsid w:val="003B5FE0"/>
    <w:rsid w:val="005153D1"/>
    <w:rsid w:val="006F272D"/>
    <w:rsid w:val="007033C1"/>
    <w:rsid w:val="00706D1A"/>
    <w:rsid w:val="00844ACA"/>
    <w:rsid w:val="008953BC"/>
    <w:rsid w:val="00974B94"/>
    <w:rsid w:val="00A42C2C"/>
    <w:rsid w:val="00BA35C8"/>
    <w:rsid w:val="00BD7CDE"/>
    <w:rsid w:val="00C57EA4"/>
    <w:rsid w:val="00C74455"/>
    <w:rsid w:val="00C9530A"/>
    <w:rsid w:val="00D01BF3"/>
    <w:rsid w:val="00D07124"/>
    <w:rsid w:val="00D36168"/>
    <w:rsid w:val="00E34DE4"/>
    <w:rsid w:val="00E77D3F"/>
    <w:rsid w:val="00F924A7"/>
    <w:rsid w:val="00F9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F27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72D"/>
  </w:style>
  <w:style w:type="paragraph" w:styleId="a6">
    <w:name w:val="footer"/>
    <w:basedOn w:val="a"/>
    <w:link w:val="a7"/>
    <w:uiPriority w:val="99"/>
    <w:unhideWhenUsed/>
    <w:rsid w:val="006F27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520B-3BB0-4C35-AE17-2ABA3B67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2016-08-04T06:27:00Z</cp:lastPrinted>
  <dcterms:created xsi:type="dcterms:W3CDTF">2016-08-04T03:24:00Z</dcterms:created>
  <dcterms:modified xsi:type="dcterms:W3CDTF">2016-10-04T08:03:00Z</dcterms:modified>
</cp:coreProperties>
</file>