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9C6C3" w14:textId="77777777" w:rsidR="00E31513" w:rsidRDefault="00E31513">
      <w:pPr>
        <w:rPr>
          <w:sz w:val="18"/>
          <w:szCs w:val="18"/>
        </w:rPr>
      </w:pPr>
    </w:p>
    <w:tbl>
      <w:tblPr>
        <w:tblW w:w="10207" w:type="dxa"/>
        <w:tblInd w:w="-175" w:type="dxa"/>
        <w:tblLook w:val="04A0" w:firstRow="1" w:lastRow="0" w:firstColumn="1" w:lastColumn="0" w:noHBand="0" w:noVBand="1"/>
      </w:tblPr>
      <w:tblGrid>
        <w:gridCol w:w="4817"/>
        <w:gridCol w:w="5390"/>
      </w:tblGrid>
      <w:tr w:rsidR="00E31513" w14:paraId="539CFB96" w14:textId="77777777">
        <w:trPr>
          <w:trHeight w:val="6570"/>
        </w:trPr>
        <w:tc>
          <w:tcPr>
            <w:tcW w:w="4817" w:type="dxa"/>
            <w:shd w:val="clear" w:color="auto" w:fill="auto"/>
          </w:tcPr>
          <w:p w14:paraId="0D4AFB70" w14:textId="77777777" w:rsidR="00E31513" w:rsidRDefault="00934182">
            <w:pPr>
              <w:tabs>
                <w:tab w:val="left" w:pos="4253"/>
              </w:tabs>
              <w:suppressAutoHyphens w:val="0"/>
              <w:spacing w:after="12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88D1DF2" wp14:editId="38C2C4CD">
                  <wp:extent cx="1360805" cy="110617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9CADF0" w14:textId="77777777" w:rsidR="00E31513" w:rsidRDefault="00934182">
            <w:pPr>
              <w:tabs>
                <w:tab w:val="left" w:pos="4253"/>
              </w:tabs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Областное государственное казенное</w:t>
            </w:r>
          </w:p>
          <w:p w14:paraId="65C99725" w14:textId="77777777" w:rsidR="00E31513" w:rsidRDefault="00934182">
            <w:pPr>
              <w:tabs>
                <w:tab w:val="left" w:pos="4253"/>
              </w:tabs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учреждение</w:t>
            </w:r>
          </w:p>
          <w:p w14:paraId="01B840CF" w14:textId="77777777" w:rsidR="00E31513" w:rsidRDefault="00934182">
            <w:pPr>
              <w:tabs>
                <w:tab w:val="left" w:pos="4253"/>
              </w:tabs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Государственное юридическое бюро</w:t>
            </w:r>
          </w:p>
          <w:p w14:paraId="149AFAED" w14:textId="77777777" w:rsidR="00E31513" w:rsidRDefault="00934182">
            <w:pPr>
              <w:tabs>
                <w:tab w:val="left" w:pos="4253"/>
              </w:tabs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 Томской области</w:t>
            </w:r>
          </w:p>
          <w:p w14:paraId="189912A5" w14:textId="77777777" w:rsidR="00E31513" w:rsidRDefault="00934182">
            <w:pPr>
              <w:suppressAutoHyphens w:val="0"/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Ленина пл., д. 14, г. Томск, 634050</w:t>
            </w:r>
          </w:p>
          <w:p w14:paraId="436D056E" w14:textId="77777777" w:rsidR="00E31513" w:rsidRDefault="0093418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Тел./факс 51-05-75;</w:t>
            </w:r>
          </w:p>
          <w:p w14:paraId="48761D5C" w14:textId="77777777" w:rsidR="00E31513" w:rsidRDefault="00934182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Email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gubtomsk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gov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70.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76512870" w14:textId="77777777" w:rsidR="00E31513" w:rsidRDefault="00934182">
            <w:pPr>
              <w:tabs>
                <w:tab w:val="left" w:pos="4253"/>
              </w:tabs>
              <w:suppressAutoHyphens w:val="0"/>
              <w:spacing w:after="24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Сайт: </w:t>
            </w:r>
            <w:proofErr w:type="spellStart"/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гюбто.рф</w:t>
            </w:r>
            <w:proofErr w:type="spellEnd"/>
            <w:proofErr w:type="gramEnd"/>
          </w:p>
          <w:p w14:paraId="22893E9C" w14:textId="77777777" w:rsidR="00E31513" w:rsidRDefault="00934182">
            <w:pPr>
              <w:tabs>
                <w:tab w:val="left" w:pos="4253"/>
              </w:tabs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Первомайское подразделение</w:t>
            </w:r>
          </w:p>
          <w:p w14:paraId="0633AC22" w14:textId="77777777" w:rsidR="00E31513" w:rsidRDefault="00934182">
            <w:pPr>
              <w:tabs>
                <w:tab w:val="left" w:pos="4253"/>
              </w:tabs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Ленинская ул., д. 38,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с.Первомайское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 636930</w:t>
            </w:r>
          </w:p>
          <w:p w14:paraId="075F5671" w14:textId="77777777" w:rsidR="00E31513" w:rsidRDefault="00934182">
            <w:pPr>
              <w:tabs>
                <w:tab w:val="left" w:pos="4253"/>
              </w:tabs>
              <w:suppressAutoHyphens w:val="0"/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Тел. 8(38-245) 2-20-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52;</w:t>
            </w:r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Email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gubpervomayka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yandex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ru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    </w:t>
            </w:r>
          </w:p>
          <w:p w14:paraId="6F83E877" w14:textId="77777777" w:rsidR="00E31513" w:rsidRDefault="00934182">
            <w:pPr>
              <w:tabs>
                <w:tab w:val="left" w:pos="4253"/>
              </w:tabs>
              <w:suppressAutoHyphens w:val="0"/>
              <w:jc w:val="center"/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28 марта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2025  №</w:t>
            </w:r>
            <w:proofErr w:type="gramEnd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17-46</w:t>
            </w:r>
          </w:p>
          <w:p w14:paraId="327A1F02" w14:textId="77777777" w:rsidR="00E31513" w:rsidRDefault="00934182">
            <w:pPr>
              <w:tabs>
                <w:tab w:val="left" w:pos="780"/>
              </w:tabs>
              <w:suppressAutoHyphens w:val="0"/>
              <w:spacing w:after="280" w:line="360" w:lineRule="auto"/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                  На N ___________ от ______________</w:t>
            </w:r>
          </w:p>
        </w:tc>
        <w:tc>
          <w:tcPr>
            <w:tcW w:w="5389" w:type="dxa"/>
            <w:shd w:val="clear" w:color="auto" w:fill="auto"/>
          </w:tcPr>
          <w:p w14:paraId="12045A49" w14:textId="77777777" w:rsidR="00E31513" w:rsidRDefault="00E31513">
            <w:pPr>
              <w:tabs>
                <w:tab w:val="left" w:pos="360"/>
              </w:tabs>
              <w:suppressAutoHyphens w:val="0"/>
              <w:ind w:firstLine="743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14:paraId="4C084BBB" w14:textId="77777777" w:rsidR="00E31513" w:rsidRDefault="00E31513">
            <w:pPr>
              <w:tabs>
                <w:tab w:val="left" w:pos="360"/>
              </w:tabs>
              <w:suppressAutoHyphens w:val="0"/>
              <w:ind w:firstLine="743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14:paraId="754E1B06" w14:textId="77777777" w:rsidR="00E31513" w:rsidRDefault="00E31513">
            <w:pPr>
              <w:tabs>
                <w:tab w:val="left" w:pos="360"/>
              </w:tabs>
              <w:suppressAutoHyphens w:val="0"/>
              <w:ind w:firstLine="743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14:paraId="506FAA11" w14:textId="77777777" w:rsidR="00E31513" w:rsidRDefault="00E31513">
            <w:pPr>
              <w:tabs>
                <w:tab w:val="left" w:pos="360"/>
              </w:tabs>
              <w:suppressAutoHyphens w:val="0"/>
              <w:ind w:firstLine="743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14:paraId="66DC35CD" w14:textId="77777777" w:rsidR="00E31513" w:rsidRDefault="00E31513">
            <w:pPr>
              <w:tabs>
                <w:tab w:val="left" w:pos="360"/>
              </w:tabs>
              <w:suppressAutoHyphens w:val="0"/>
              <w:ind w:firstLine="743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14:paraId="2908DB55" w14:textId="77777777" w:rsidR="00E31513" w:rsidRDefault="00E31513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3D307E5" w14:textId="77777777" w:rsidR="00E31513" w:rsidRDefault="00E31513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61E2C8FC" w14:textId="77777777" w:rsidR="00E31513" w:rsidRDefault="00E31513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544561DC" w14:textId="77777777" w:rsidR="00E31513" w:rsidRDefault="00934182">
            <w:proofErr w:type="gram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Главе  Первомайского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Томской области И.И. 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Сиберт</w:t>
            </w:r>
            <w:proofErr w:type="spellEnd"/>
          </w:p>
          <w:p w14:paraId="04C8077F" w14:textId="77777777" w:rsidR="00E31513" w:rsidRDefault="00E31513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14:paraId="08D44D0F" w14:textId="77777777" w:rsidR="00E31513" w:rsidRDefault="00E31513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14:paraId="486C79BD" w14:textId="77777777" w:rsidR="00E31513" w:rsidRDefault="00934182"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Информация о результатах работы </w:t>
      </w:r>
    </w:p>
    <w:p w14:paraId="0487361C" w14:textId="77777777" w:rsidR="00E31513" w:rsidRDefault="00934182">
      <w:r>
        <w:rPr>
          <w:rFonts w:ascii="PT Astra Serif" w:hAnsi="PT Astra Serif"/>
          <w:sz w:val="28"/>
          <w:szCs w:val="28"/>
        </w:rPr>
        <w:t xml:space="preserve">      Первомайского подразделения ОГКУ «</w:t>
      </w:r>
      <w:proofErr w:type="spellStart"/>
      <w:r>
        <w:rPr>
          <w:rFonts w:ascii="PT Astra Serif" w:hAnsi="PT Astra Serif"/>
          <w:sz w:val="28"/>
          <w:szCs w:val="28"/>
        </w:rPr>
        <w:t>Госюрбюро</w:t>
      </w:r>
      <w:proofErr w:type="spellEnd"/>
      <w:r>
        <w:rPr>
          <w:rFonts w:ascii="PT Astra Serif" w:hAnsi="PT Astra Serif"/>
          <w:sz w:val="28"/>
          <w:szCs w:val="28"/>
        </w:rPr>
        <w:t xml:space="preserve"> по Томской области» </w:t>
      </w:r>
    </w:p>
    <w:p w14:paraId="5233799B" w14:textId="77777777" w:rsidR="00E31513" w:rsidRDefault="00934182">
      <w:r>
        <w:rPr>
          <w:rFonts w:ascii="PT Astra Serif" w:hAnsi="PT Astra Serif"/>
          <w:sz w:val="28"/>
          <w:szCs w:val="28"/>
        </w:rPr>
        <w:t xml:space="preserve">                                      за 3 месяца 2025 года</w:t>
      </w:r>
    </w:p>
    <w:p w14:paraId="1BCD1A4F" w14:textId="77777777" w:rsidR="00E31513" w:rsidRDefault="00E31513">
      <w:pPr>
        <w:rPr>
          <w:rFonts w:ascii="PT Astra Serif" w:hAnsi="PT Astra Serif"/>
          <w:sz w:val="28"/>
          <w:szCs w:val="28"/>
        </w:rPr>
      </w:pPr>
    </w:p>
    <w:p w14:paraId="26770ADD" w14:textId="77777777" w:rsidR="00E31513" w:rsidRDefault="00934182">
      <w:pPr>
        <w:jc w:val="both"/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В первом квартале 2025 года деятельность Первомайского подразделения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Госюрбюро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по То</w:t>
      </w:r>
      <w:r>
        <w:rPr>
          <w:rFonts w:ascii="PT Astra Serif" w:hAnsi="PT Astra Serif"/>
          <w:color w:val="000000"/>
          <w:sz w:val="28"/>
          <w:szCs w:val="28"/>
        </w:rPr>
        <w:t>мской области была направлена на оказание бесплатной юридической помощи гражданам, на просвещение и правовое информирование граждан на территории Первомайского района Томской области, в соответствии с действующим федеральным законодательством и Законом Том</w:t>
      </w:r>
      <w:r>
        <w:rPr>
          <w:rFonts w:ascii="PT Astra Serif" w:hAnsi="PT Astra Serif"/>
          <w:color w:val="000000"/>
          <w:sz w:val="28"/>
          <w:szCs w:val="28"/>
        </w:rPr>
        <w:t>ской области от 13 августа 2012 № 149-ОЗ «Об оказании бесплатной  юридической помощи гражданам Российской Федерации на территории Томской области».</w:t>
      </w:r>
    </w:p>
    <w:p w14:paraId="3FE882AC" w14:textId="77777777" w:rsidR="00E31513" w:rsidRDefault="00934182">
      <w:pPr>
        <w:jc w:val="both"/>
      </w:pPr>
      <w:r>
        <w:tab/>
      </w:r>
      <w:r>
        <w:rPr>
          <w:rFonts w:ascii="PT Astra Serif" w:hAnsi="PT Astra Serif"/>
          <w:sz w:val="28"/>
          <w:szCs w:val="28"/>
        </w:rPr>
        <w:t>Одним из приоритетных направлений работы Первомайского подразделения являлось - доступность, т.е. на постоя</w:t>
      </w:r>
      <w:r>
        <w:rPr>
          <w:rFonts w:ascii="PT Astra Serif" w:hAnsi="PT Astra Serif"/>
          <w:sz w:val="28"/>
          <w:szCs w:val="28"/>
        </w:rPr>
        <w:t xml:space="preserve">нной основе проводится работа со специалистами сельских поселений, которые посредством электронной связи направляют в мой адрес документы граждан, проживающих в отдалённых населенных пунктах для дальнейшего изучения и оказания практической помощи. В своей </w:t>
      </w:r>
      <w:r>
        <w:rPr>
          <w:rFonts w:ascii="PT Astra Serif" w:hAnsi="PT Astra Serif"/>
          <w:sz w:val="28"/>
          <w:szCs w:val="28"/>
        </w:rPr>
        <w:t>работе дополнительно использую дистанционный способ - посредством телефонной связи оказания бесплатной юридической помощи, где граждане могут задавать интересующие их вопросы, не требующие составления процессуальных и иных документов.</w:t>
      </w:r>
    </w:p>
    <w:p w14:paraId="55E9D7C6" w14:textId="77777777" w:rsidR="00E31513" w:rsidRDefault="00934182">
      <w:pPr>
        <w:jc w:val="both"/>
      </w:pPr>
      <w:r>
        <w:rPr>
          <w:rFonts w:ascii="PT Astra Serif" w:hAnsi="PT Astra Serif"/>
          <w:color w:val="000000"/>
          <w:sz w:val="28"/>
          <w:szCs w:val="28"/>
        </w:rPr>
        <w:tab/>
        <w:t xml:space="preserve">За первый </w:t>
      </w:r>
      <w:r>
        <w:rPr>
          <w:rFonts w:ascii="PT Astra Serif" w:hAnsi="PT Astra Serif"/>
          <w:color w:val="000000"/>
          <w:sz w:val="28"/>
          <w:szCs w:val="28"/>
        </w:rPr>
        <w:t>квартал 2025 года бесплатная юридическая помощь оказана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 87 гражданам, из них 6 -малоимущие гражданине; 27 - неработающие пенсионеры; 12 - инвалиды 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I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 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II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группы; 2 - неработающие инвалиды 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III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группы;  23 - военнослужащие (проходящие службу в СВО)  и члены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их семей;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В том числе обращения граждан, принятых независимо от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представленных документов и размера среднедушевого дохода (День открытых дверей, приёмы граждан при выездах в виде правового информирования и просвещения граждан и т.п., устные и письменные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консультации посредством телефонной и электронной связи)- 17. </w:t>
      </w:r>
    </w:p>
    <w:p w14:paraId="0707B83A" w14:textId="77777777" w:rsidR="00E31513" w:rsidRDefault="00934182">
      <w:pPr>
        <w:spacing w:before="57" w:after="57"/>
        <w:ind w:right="120" w:firstLine="360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Дано консультаций правового характера в устной и письменной форме-20. Заключено соглашения на составлено документов правового характера (в т.ч. заявлений в суд) –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36,  из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них на участие в качес</w:t>
      </w:r>
      <w:r>
        <w:rPr>
          <w:rFonts w:ascii="PT Astra Serif" w:hAnsi="PT Astra Serif" w:cs="PT Astra Serif"/>
          <w:color w:val="000000"/>
          <w:sz w:val="28"/>
          <w:szCs w:val="28"/>
        </w:rPr>
        <w:t>тве представителей граждан в суде  - 6.</w:t>
      </w:r>
    </w:p>
    <w:p w14:paraId="4E332EC2" w14:textId="77777777" w:rsidR="00E31513" w:rsidRDefault="00934182">
      <w:pPr>
        <w:numPr>
          <w:ilvl w:val="1"/>
          <w:numId w:val="1"/>
        </w:numPr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Отказов в оказании бесплатной юридической помощи – нет.</w:t>
      </w:r>
    </w:p>
    <w:p w14:paraId="1C95B054" w14:textId="77777777" w:rsidR="00E31513" w:rsidRDefault="00934182">
      <w:pPr>
        <w:numPr>
          <w:ilvl w:val="4"/>
          <w:numId w:val="1"/>
        </w:numPr>
        <w:spacing w:before="57" w:after="57"/>
        <w:ind w:left="90" w:right="120" w:firstLine="0"/>
        <w:jc w:val="both"/>
      </w:pPr>
      <w:r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 xml:space="preserve">Мониторинг и анализ обращений по категориям граждан в первом квартале 2025 года показывает, что наиболее часто в Первомайское подразделение </w:t>
      </w:r>
      <w:proofErr w:type="spellStart"/>
      <w:r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Госюрбюро</w:t>
      </w:r>
      <w:proofErr w:type="spellEnd"/>
      <w:r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 xml:space="preserve"> по Томской</w:t>
      </w:r>
      <w:r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 xml:space="preserve"> области обращаются неработающие пенсионеры и участники СВО, члены их семей.</w:t>
      </w:r>
    </w:p>
    <w:p w14:paraId="359A56EA" w14:textId="77777777" w:rsidR="00E31513" w:rsidRDefault="00934182">
      <w:pPr>
        <w:numPr>
          <w:ilvl w:val="6"/>
          <w:numId w:val="1"/>
        </w:numPr>
        <w:spacing w:before="57" w:after="57"/>
        <w:ind w:left="90" w:right="120" w:firstLine="0"/>
        <w:jc w:val="both"/>
      </w:pPr>
      <w:r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Мониторинг и анализ обращений по вопросам, с которыми обращаются граждане,  показывает, что наиболее часто обращаются по следующим вопросам: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 xml:space="preserve"> по гражданскому праву (устранение нару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 xml:space="preserve">шений прав собственника, приобретение и(или) признание права собственности на жилье, недвижимость, защита прав потребителей, приказное производство в виде отмены судебных приказов о взыскании с граждан задолженностей и т.д.); вопросы наследственного права 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(оформление и принятие наследства, восстановление пропущенного срока для принятия наследства в судебном порядке и т.д.); вопросы жилищного законодательства (предоставление жилья в связи с признанием его ветхим и подлежащим сносу, очередность предоставления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 xml:space="preserve"> жилья в качестве нуждающихся, приватизация жилья, предоставление компенсаций и субсидий на оплату </w:t>
      </w:r>
      <w:proofErr w:type="spellStart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ком.услуг</w:t>
      </w:r>
      <w:proofErr w:type="spellEnd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 xml:space="preserve">, утрата или признание права пользования жилым помещением, ЖКУ и </w:t>
      </w:r>
      <w:proofErr w:type="spellStart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кап.ремонт</w:t>
      </w:r>
      <w:proofErr w:type="spellEnd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 xml:space="preserve"> и т.д.); предоставление мер социальной поддержки отдельным категориям гр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аждан (</w:t>
      </w:r>
      <w:proofErr w:type="spellStart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соц.льготы</w:t>
      </w:r>
      <w:proofErr w:type="spellEnd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, материальная помощь, порядок оплаты листов нетрудоспособности); вопросы семейного законодательства (лишение родительских прав, восстановление в родительских правах, расторжение брака, установление и оспаривание отцовства, взыскание алиме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нтов на несовершеннолетних детей, либо на содержание родителей, уменьшение или увеличение размера алиментов, определение места жительства детей, порядка общения с детьми и т. д.); исполнительное производство (взыскание задолженности по займам и кредитам на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 xml:space="preserve"> основании судебных актов, задолженности по алиментам, задолженности за ЖКУ и прочее); установление фактов, имеющих юридическое значение (факт принадлежности правоустанавливающих </w:t>
      </w:r>
      <w:proofErr w:type="gramStart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>документов,  факт</w:t>
      </w:r>
      <w:proofErr w:type="gramEnd"/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 xml:space="preserve"> владения недвижимостью, факт принятия наследства и места от</w:t>
      </w:r>
      <w:r>
        <w:rPr>
          <w:rFonts w:ascii="PT Astra Serif" w:eastAsia="PT Serif" w:hAnsi="PT Astra Serif" w:cs="PT Astra Serif"/>
          <w:bCs/>
          <w:color w:val="000000"/>
          <w:sz w:val="28"/>
          <w:szCs w:val="28"/>
        </w:rPr>
        <w:t xml:space="preserve">крытия наследства и т.п.), а также иные вопросы. </w:t>
      </w:r>
    </w:p>
    <w:p w14:paraId="7D052506" w14:textId="77777777" w:rsidR="00E31513" w:rsidRDefault="00934182">
      <w:pPr>
        <w:ind w:left="90" w:right="120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ab/>
      </w:r>
      <w:r>
        <w:rPr>
          <w:rFonts w:ascii="PT Astra Serif" w:hAnsi="PT Astra Serif" w:cs="PT Astra Serif"/>
          <w:color w:val="000000"/>
          <w:sz w:val="28"/>
          <w:szCs w:val="28"/>
        </w:rPr>
        <w:t>Обращались граждане с отдаленных от центра района населенных пунктов (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с.Аргат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Юл, </w:t>
      </w:r>
      <w:proofErr w:type="spellStart"/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пос.Улу</w:t>
      </w:r>
      <w:proofErr w:type="spellEnd"/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Юл,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с.Комсомольск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д.Тазырбак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с.Берёзовка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пос.Орехово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и др.). </w:t>
      </w:r>
    </w:p>
    <w:p w14:paraId="496A4519" w14:textId="77777777" w:rsidR="00E31513" w:rsidRDefault="00934182">
      <w:pPr>
        <w:ind w:left="90" w:right="120"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Информация о результатах работы Первомайского подразделения ОГКУ «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Госюрбюро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по Томской области»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за  первый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квартал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2025 г.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направляется для сведения. </w:t>
      </w:r>
    </w:p>
    <w:p w14:paraId="0CE9BBE8" w14:textId="77777777" w:rsidR="00E31513" w:rsidRDefault="00E31513">
      <w:pPr>
        <w:pStyle w:val="a6"/>
        <w:rPr>
          <w:rFonts w:ascii="PT Astra Serif" w:hAnsi="PT Astra Serif"/>
          <w:sz w:val="28"/>
          <w:szCs w:val="28"/>
          <w:highlight w:val="yellow"/>
        </w:rPr>
      </w:pPr>
    </w:p>
    <w:p w14:paraId="7DDA755D" w14:textId="77777777" w:rsidR="00E31513" w:rsidRDefault="0093418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ведущий юрисконсульт Силаева Ольга Николаевна, </w:t>
      </w:r>
    </w:p>
    <w:p w14:paraId="40D578EE" w14:textId="77777777" w:rsidR="00E31513" w:rsidRDefault="00E31513">
      <w:pPr>
        <w:jc w:val="both"/>
      </w:pPr>
    </w:p>
    <w:sectPr w:rsidR="00E31513">
      <w:pgSz w:w="11906" w:h="16838"/>
      <w:pgMar w:top="709" w:right="567" w:bottom="540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PT Astra Serif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65064"/>
    <w:multiLevelType w:val="multilevel"/>
    <w:tmpl w:val="BBEAB2EE"/>
    <w:lvl w:ilvl="0">
      <w:start w:val="1"/>
      <w:numFmt w:val="none"/>
      <w:suff w:val="nothing"/>
      <w:lvlText w:val=""/>
      <w:lvlJc w:val="left"/>
      <w:pPr>
        <w:ind w:left="792" w:hanging="432"/>
      </w:pPr>
      <w:rPr>
        <w:rFonts w:eastAsia="PT Serif" w:cs="PT Serif"/>
        <w:b/>
        <w:bCs/>
        <w:sz w:val="28"/>
        <w:szCs w:val="22"/>
        <w:lang w:val="ru-RU"/>
      </w:rPr>
    </w:lvl>
    <w:lvl w:ilvl="1">
      <w:start w:val="1"/>
      <w:numFmt w:val="none"/>
      <w:suff w:val="nothing"/>
      <w:lvlText w:val=""/>
      <w:lvlJc w:val="left"/>
      <w:pPr>
        <w:ind w:left="936" w:hanging="576"/>
      </w:pPr>
    </w:lvl>
    <w:lvl w:ilvl="2">
      <w:start w:val="1"/>
      <w:numFmt w:val="none"/>
      <w:suff w:val="nothing"/>
      <w:lvlText w:val=""/>
      <w:lvlJc w:val="left"/>
      <w:pPr>
        <w:ind w:left="1080" w:hanging="720"/>
      </w:pPr>
    </w:lvl>
    <w:lvl w:ilvl="3">
      <w:start w:val="1"/>
      <w:numFmt w:val="none"/>
      <w:suff w:val="nothing"/>
      <w:lvlText w:val=""/>
      <w:lvlJc w:val="left"/>
      <w:pPr>
        <w:ind w:left="1224" w:hanging="864"/>
      </w:pPr>
    </w:lvl>
    <w:lvl w:ilvl="4">
      <w:start w:val="1"/>
      <w:numFmt w:val="none"/>
      <w:suff w:val="nothing"/>
      <w:lvlText w:val=""/>
      <w:lvlJc w:val="left"/>
      <w:pPr>
        <w:ind w:left="1368" w:hanging="1008"/>
      </w:pPr>
    </w:lvl>
    <w:lvl w:ilvl="5">
      <w:start w:val="1"/>
      <w:numFmt w:val="none"/>
      <w:suff w:val="nothing"/>
      <w:lvlText w:val=""/>
      <w:lvlJc w:val="left"/>
      <w:pPr>
        <w:ind w:left="1512" w:hanging="1152"/>
      </w:pPr>
      <w:rPr>
        <w:rFonts w:cs="PT Astra Serif"/>
        <w:bCs/>
        <w:sz w:val="28"/>
        <w:szCs w:val="28"/>
      </w:rPr>
    </w:lvl>
    <w:lvl w:ilvl="6">
      <w:start w:val="1"/>
      <w:numFmt w:val="none"/>
      <w:suff w:val="nothing"/>
      <w:lvlText w:val=""/>
      <w:lvlJc w:val="left"/>
      <w:pPr>
        <w:ind w:left="1656" w:hanging="1296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1944" w:hanging="1584"/>
      </w:pPr>
    </w:lvl>
  </w:abstractNum>
  <w:abstractNum w:abstractNumId="1" w15:restartNumberingAfterBreak="0">
    <w:nsid w:val="733F7718"/>
    <w:multiLevelType w:val="multilevel"/>
    <w:tmpl w:val="265CF6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13"/>
    <w:rsid w:val="00934182"/>
    <w:rsid w:val="00E3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D592"/>
  <w15:docId w15:val="{30975ED3-A3D5-489F-9F7C-12034072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62C"/>
    <w:pPr>
      <w:suppressAutoHyphens/>
    </w:pPr>
    <w:rPr>
      <w:rFonts w:eastAsia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01DD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WW8Num2z0">
    <w:name w:val="WW8Num2z0"/>
    <w:qFormat/>
    <w:rPr>
      <w:rFonts w:ascii="PT Serif" w:eastAsia="PT Serif" w:hAnsi="PT Serif" w:cs="PT Serif"/>
      <w:b/>
      <w:bCs/>
      <w:sz w:val="22"/>
      <w:szCs w:val="22"/>
      <w:lang w:val="ru-RU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  <w:rPr>
      <w:rFonts w:ascii="PT Astra Serif" w:hAnsi="PT Astra Serif" w:cs="PT Astra Serif"/>
      <w:bCs/>
      <w:sz w:val="28"/>
      <w:szCs w:val="28"/>
    </w:rPr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ListLabel1">
    <w:name w:val="ListLabel 1"/>
    <w:qFormat/>
    <w:rPr>
      <w:rFonts w:ascii="PT Astra Serif" w:eastAsia="PT Serif" w:hAnsi="PT Astra Serif" w:cs="PT Serif"/>
      <w:b/>
      <w:bCs/>
      <w:sz w:val="28"/>
      <w:szCs w:val="22"/>
      <w:lang w:val="ru-RU"/>
    </w:rPr>
  </w:style>
  <w:style w:type="character" w:customStyle="1" w:styleId="ListLabel2">
    <w:name w:val="ListLabel 2"/>
    <w:qFormat/>
    <w:rPr>
      <w:rFonts w:cs="PT Astra Serif"/>
      <w:bCs/>
      <w:sz w:val="28"/>
      <w:szCs w:val="28"/>
    </w:rPr>
  </w:style>
  <w:style w:type="character" w:customStyle="1" w:styleId="ListLabel3">
    <w:name w:val="ListLabel 3"/>
    <w:qFormat/>
    <w:rPr>
      <w:rFonts w:ascii="PT Astra Serif" w:eastAsia="PT Serif" w:hAnsi="PT Astra Serif" w:cs="PT Serif"/>
      <w:b/>
      <w:bCs/>
      <w:sz w:val="28"/>
      <w:szCs w:val="22"/>
      <w:lang w:val="ru-RU"/>
    </w:rPr>
  </w:style>
  <w:style w:type="character" w:customStyle="1" w:styleId="ListLabel4">
    <w:name w:val="ListLabel 4"/>
    <w:qFormat/>
    <w:rPr>
      <w:rFonts w:cs="PT Astra Serif"/>
      <w:bCs/>
      <w:sz w:val="28"/>
      <w:szCs w:val="28"/>
    </w:rPr>
  </w:style>
  <w:style w:type="character" w:customStyle="1" w:styleId="ListLabel5">
    <w:name w:val="ListLabel 5"/>
    <w:qFormat/>
    <w:rPr>
      <w:rFonts w:ascii="PT Astra Serif" w:eastAsia="PT Serif" w:hAnsi="PT Astra Serif" w:cs="PT Serif"/>
      <w:b/>
      <w:bCs/>
      <w:sz w:val="28"/>
      <w:szCs w:val="22"/>
      <w:lang w:val="ru-RU"/>
    </w:rPr>
  </w:style>
  <w:style w:type="character" w:customStyle="1" w:styleId="ListLabel6">
    <w:name w:val="ListLabel 6"/>
    <w:qFormat/>
    <w:rPr>
      <w:rFonts w:cs="PT Astra Serif"/>
      <w:bCs/>
      <w:sz w:val="28"/>
      <w:szCs w:val="28"/>
    </w:rPr>
  </w:style>
  <w:style w:type="character" w:customStyle="1" w:styleId="ListLabel7">
    <w:name w:val="ListLabel 7"/>
    <w:qFormat/>
    <w:rPr>
      <w:rFonts w:ascii="PT Astra Serif" w:eastAsia="PT Serif" w:hAnsi="PT Astra Serif" w:cs="PT Serif"/>
      <w:b/>
      <w:bCs/>
      <w:sz w:val="28"/>
      <w:szCs w:val="22"/>
      <w:lang w:val="ru-RU"/>
    </w:rPr>
  </w:style>
  <w:style w:type="character" w:customStyle="1" w:styleId="ListLabel8">
    <w:name w:val="ListLabel 8"/>
    <w:qFormat/>
    <w:rPr>
      <w:rFonts w:cs="PT Astra Serif"/>
      <w:bCs/>
      <w:sz w:val="28"/>
      <w:szCs w:val="28"/>
    </w:rPr>
  </w:style>
  <w:style w:type="character" w:customStyle="1" w:styleId="ListLabel9">
    <w:name w:val="ListLabel 9"/>
    <w:qFormat/>
    <w:rPr>
      <w:rFonts w:ascii="PT Astra Serif" w:eastAsia="PT Serif" w:hAnsi="PT Astra Serif" w:cs="PT Serif"/>
      <w:b/>
      <w:bCs/>
      <w:sz w:val="28"/>
      <w:szCs w:val="22"/>
      <w:lang w:val="ru-RU"/>
    </w:rPr>
  </w:style>
  <w:style w:type="character" w:customStyle="1" w:styleId="ListLabel10">
    <w:name w:val="ListLabel 10"/>
    <w:qFormat/>
    <w:rPr>
      <w:rFonts w:cs="PT Astra Serif"/>
      <w:bCs/>
      <w:sz w:val="28"/>
      <w:szCs w:val="28"/>
    </w:rPr>
  </w:style>
  <w:style w:type="character" w:customStyle="1" w:styleId="ListLabel11">
    <w:name w:val="ListLabel 11"/>
    <w:qFormat/>
    <w:rPr>
      <w:rFonts w:ascii="PT Astra Serif" w:eastAsia="PT Serif" w:hAnsi="PT Astra Serif" w:cs="PT Serif"/>
      <w:b/>
      <w:bCs/>
      <w:sz w:val="28"/>
      <w:szCs w:val="22"/>
      <w:lang w:val="ru-RU"/>
    </w:rPr>
  </w:style>
  <w:style w:type="character" w:customStyle="1" w:styleId="ListLabel12">
    <w:name w:val="ListLabel 12"/>
    <w:qFormat/>
    <w:rPr>
      <w:rFonts w:cs="PT Astra Serif"/>
      <w:bCs/>
      <w:sz w:val="28"/>
      <w:szCs w:val="28"/>
    </w:rPr>
  </w:style>
  <w:style w:type="character" w:customStyle="1" w:styleId="ListLabel13">
    <w:name w:val="ListLabel 13"/>
    <w:qFormat/>
    <w:rPr>
      <w:rFonts w:eastAsia="PT Serif" w:cs="PT Serif"/>
      <w:b/>
      <w:bCs/>
      <w:sz w:val="28"/>
      <w:szCs w:val="22"/>
      <w:lang w:val="ru-RU"/>
    </w:rPr>
  </w:style>
  <w:style w:type="character" w:customStyle="1" w:styleId="ListLabel14">
    <w:name w:val="ListLabel 14"/>
    <w:qFormat/>
    <w:rPr>
      <w:rFonts w:cs="PT Astra Serif"/>
      <w:bCs/>
      <w:sz w:val="28"/>
      <w:szCs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Balloon Text"/>
    <w:basedOn w:val="a"/>
    <w:uiPriority w:val="99"/>
    <w:semiHidden/>
    <w:unhideWhenUsed/>
    <w:qFormat/>
    <w:rsid w:val="00501DD9"/>
    <w:rPr>
      <w:rFonts w:ascii="Tahoma" w:hAnsi="Tahoma" w:cs="Tahoma"/>
      <w:sz w:val="16"/>
      <w:szCs w:val="16"/>
    </w:rPr>
  </w:style>
  <w:style w:type="numbering" w:customStyle="1" w:styleId="WW8Num2">
    <w:name w:val="WW8Num2"/>
    <w:qFormat/>
  </w:style>
  <w:style w:type="table" w:styleId="ab">
    <w:name w:val="Table Grid"/>
    <w:basedOn w:val="a1"/>
    <w:uiPriority w:val="59"/>
    <w:rsid w:val="00990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4232</Characters>
  <Application>Microsoft Office Word</Application>
  <DocSecurity>4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205-Дума</cp:lastModifiedBy>
  <cp:revision>2</cp:revision>
  <cp:lastPrinted>2024-12-25T16:15:00Z</cp:lastPrinted>
  <dcterms:created xsi:type="dcterms:W3CDTF">2025-04-07T02:15:00Z</dcterms:created>
  <dcterms:modified xsi:type="dcterms:W3CDTF">2025-04-07T02:15:00Z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